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B08E" w14:textId="0B485E83" w:rsidR="00E140F5" w:rsidRPr="00AF54F4" w:rsidRDefault="00132DBB" w:rsidP="00132DBB">
      <w:pPr>
        <w:pStyle w:val="Zhlav"/>
        <w:rPr>
          <w:rFonts w:ascii="Calibri" w:hAnsi="Calibri" w:cs="Calibri"/>
          <w:sz w:val="22"/>
          <w:szCs w:val="22"/>
        </w:rPr>
      </w:pPr>
      <w:r w:rsidRPr="00AF54F4">
        <w:rPr>
          <w:rFonts w:ascii="Calibri" w:hAnsi="Calibri" w:cs="Calibri"/>
          <w:sz w:val="22"/>
          <w:szCs w:val="22"/>
        </w:rPr>
        <w:t>Příloha č. 3</w:t>
      </w:r>
    </w:p>
    <w:p w14:paraId="01385FD8" w14:textId="77777777" w:rsidR="00E140F5" w:rsidRDefault="00E140F5" w:rsidP="008A0673">
      <w:pPr>
        <w:pStyle w:val="Zhlav"/>
        <w:jc w:val="center"/>
        <w:rPr>
          <w:rFonts w:ascii="Cambria" w:hAnsi="Cambria"/>
          <w:b/>
          <w:caps/>
          <w:spacing w:val="50"/>
          <w:sz w:val="28"/>
          <w:szCs w:val="24"/>
        </w:rPr>
      </w:pPr>
    </w:p>
    <w:p w14:paraId="5C3F486F" w14:textId="6B002FD8"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2B83613B" w14:textId="77777777" w:rsidR="00623CD3" w:rsidRPr="00F449A1" w:rsidRDefault="00623CD3">
      <w:pPr>
        <w:jc w:val="both"/>
        <w:rPr>
          <w:rFonts w:ascii="Calibri" w:hAnsi="Calibri" w:cs="Calibri"/>
          <w:sz w:val="22"/>
          <w:szCs w:val="22"/>
        </w:rPr>
      </w:pPr>
    </w:p>
    <w:p w14:paraId="6A35ED99" w14:textId="0FAD422E"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w:t>
      </w:r>
    </w:p>
    <w:p w14:paraId="31E8E644" w14:textId="13CCEA1A" w:rsidR="00613474"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0E213669" w14:textId="77777777" w:rsidR="003D5152" w:rsidRDefault="003D5152" w:rsidP="00154476">
      <w:pPr>
        <w:spacing w:line="276" w:lineRule="auto"/>
        <w:jc w:val="both"/>
        <w:rPr>
          <w:rFonts w:ascii="Calibri" w:hAnsi="Calibri" w:cs="Calibri"/>
          <w:sz w:val="22"/>
          <w:szCs w:val="22"/>
        </w:rPr>
      </w:pPr>
      <w:r w:rsidRPr="003D5152">
        <w:rPr>
          <w:rFonts w:ascii="Calibri" w:hAnsi="Calibri" w:cs="Calibri"/>
          <w:sz w:val="22"/>
          <w:szCs w:val="22"/>
        </w:rPr>
        <w:t>Místo plnění: Divadelní fakulta, Mozartova 647/1, 662 15 Brno</w:t>
      </w:r>
    </w:p>
    <w:p w14:paraId="4ED696D1" w14:textId="3266002B"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78755DCC" w14:textId="79F9FE2E" w:rsidR="00152042" w:rsidRPr="003766CA" w:rsidRDefault="00152042" w:rsidP="00152042">
      <w:pPr>
        <w:jc w:val="both"/>
        <w:rPr>
          <w:rFonts w:ascii="Calibri" w:hAnsi="Calibri" w:cs="Calibri"/>
          <w:b/>
          <w:sz w:val="22"/>
          <w:szCs w:val="22"/>
        </w:rPr>
      </w:pPr>
      <w:r w:rsidRPr="003766CA">
        <w:rPr>
          <w:rFonts w:ascii="Calibri" w:hAnsi="Calibri" w:cs="Calibri"/>
          <w:b/>
          <w:sz w:val="22"/>
          <w:szCs w:val="22"/>
        </w:rPr>
        <w:t>zastoupená:</w:t>
      </w:r>
      <w:r>
        <w:rPr>
          <w:rFonts w:ascii="Calibri" w:hAnsi="Calibri" w:cs="Calibri"/>
          <w:sz w:val="22"/>
          <w:szCs w:val="22"/>
        </w:rPr>
        <w:t xml:space="preserve"> </w:t>
      </w:r>
      <w:r w:rsidRPr="00460100">
        <w:rPr>
          <w:rFonts w:ascii="Calibri" w:hAnsi="Calibri" w:cs="Calibri"/>
          <w:sz w:val="22"/>
          <w:szCs w:val="22"/>
        </w:rPr>
        <w:t>Ing. Mgr. Alen</w:t>
      </w:r>
      <w:r>
        <w:rPr>
          <w:rFonts w:ascii="Calibri" w:hAnsi="Calibri" w:cs="Calibri"/>
          <w:sz w:val="22"/>
          <w:szCs w:val="22"/>
        </w:rPr>
        <w:t>ou</w:t>
      </w:r>
      <w:r w:rsidRPr="00460100">
        <w:rPr>
          <w:rFonts w:ascii="Calibri" w:hAnsi="Calibri" w:cs="Calibri"/>
          <w:sz w:val="22"/>
          <w:szCs w:val="22"/>
        </w:rPr>
        <w:t xml:space="preserve"> Valentov</w:t>
      </w:r>
      <w:r>
        <w:rPr>
          <w:rFonts w:ascii="Calibri" w:hAnsi="Calibri" w:cs="Calibri"/>
          <w:sz w:val="22"/>
          <w:szCs w:val="22"/>
        </w:rPr>
        <w:t>ou, tajemnicí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32D55C85" w14:textId="77777777" w:rsidR="00C3592A" w:rsidRPr="00F449A1" w:rsidRDefault="00C3592A" w:rsidP="00C3592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w:t>
      </w:r>
      <w:r>
        <w:rPr>
          <w:rFonts w:ascii="Calibri" w:hAnsi="Calibri" w:cs="Calibri"/>
          <w:sz w:val="22"/>
          <w:szCs w:val="22"/>
        </w:rPr>
        <w:t xml:space="preserve">publicity projektu: </w:t>
      </w:r>
      <w:r w:rsidRPr="00345B5A">
        <w:rPr>
          <w:rFonts w:ascii="Calibri" w:hAnsi="Calibri" w:cs="Calibri"/>
          <w:sz w:val="22"/>
          <w:szCs w:val="22"/>
          <w:lang w:eastAsia="ar-SA"/>
        </w:rPr>
        <w:t>"</w:t>
      </w:r>
      <w:r w:rsidRPr="00FD6C35">
        <w:rPr>
          <w:rFonts w:ascii="Calibri" w:hAnsi="Calibri" w:cs="Calibri"/>
          <w:sz w:val="22"/>
          <w:szCs w:val="22"/>
          <w:lang w:eastAsia="ar-SA"/>
        </w:rPr>
        <w:t>Zvýšení kvality vzdělávání na JAMU</w:t>
      </w:r>
      <w:r w:rsidRPr="00345B5A">
        <w:rPr>
          <w:rFonts w:ascii="Calibri" w:hAnsi="Calibri" w:cs="Calibri"/>
          <w:sz w:val="22"/>
          <w:szCs w:val="22"/>
          <w:lang w:eastAsia="ar-SA"/>
        </w:rPr>
        <w:t>", registrační číslo projektu:</w:t>
      </w:r>
      <w:r>
        <w:rPr>
          <w:rFonts w:ascii="Calibri" w:hAnsi="Calibri" w:cs="Calibri"/>
          <w:sz w:val="22"/>
          <w:szCs w:val="22"/>
          <w:lang w:eastAsia="ar-SA"/>
        </w:rPr>
        <w:t xml:space="preserve"> </w:t>
      </w:r>
      <w:r w:rsidRPr="00DF7A8C">
        <w:rPr>
          <w:rFonts w:asciiTheme="minorHAnsi" w:hAnsiTheme="minorHAnsi" w:cstheme="minorHAnsi"/>
          <w:sz w:val="22"/>
          <w:szCs w:val="22"/>
        </w:rPr>
        <w:t>CZ.02.2.69/0.0/0.0/16_015/0002245</w:t>
      </w:r>
      <w:r w:rsidRP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21CF9156"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77759948" w14:textId="77777777"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 xml:space="preserve">Prodávající zajistí v rámci plnění smlouvy legální zaměstnávání osob a zajistí pracovníkům podílejícím se na plnění smlouvy férové a důstojné pracovní podmínky. Férovými a důstojnými </w:t>
      </w:r>
      <w:r w:rsidRPr="008242C5">
        <w:rPr>
          <w:rFonts w:ascii="Calibri" w:hAnsi="Calibri" w:cs="Calibri"/>
          <w:sz w:val="22"/>
          <w:szCs w:val="22"/>
        </w:rPr>
        <w:lastRenderedPageBreak/>
        <w:t>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7586492D" w14:textId="56BCBE08" w:rsid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06479A51"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A256AF">
        <w:rPr>
          <w:rFonts w:ascii="Calibri" w:eastAsia="Calibri" w:hAnsi="Calibri" w:cs="Calibri"/>
          <w:sz w:val="22"/>
          <w:szCs w:val="22"/>
        </w:rPr>
        <w:t>„</w:t>
      </w:r>
      <w:r w:rsidR="00BF414B" w:rsidRPr="00BF414B">
        <w:rPr>
          <w:rFonts w:ascii="Calibri" w:eastAsia="Calibri" w:hAnsi="Calibri" w:cs="Calibri"/>
          <w:sz w:val="22"/>
          <w:szCs w:val="22"/>
        </w:rPr>
        <w:t>Propagační předměty</w:t>
      </w:r>
      <w:r w:rsidR="002E6BCD">
        <w:rPr>
          <w:rFonts w:ascii="Calibri" w:eastAsia="Calibri" w:hAnsi="Calibri" w:cs="Calibri"/>
          <w:sz w:val="22"/>
          <w:szCs w:val="22"/>
        </w:rPr>
        <w:t xml:space="preserve"> DF</w:t>
      </w:r>
      <w:r w:rsidR="00BF414B" w:rsidRPr="00BF414B">
        <w:rPr>
          <w:rFonts w:ascii="Calibri" w:eastAsia="Calibri" w:hAnsi="Calibri" w:cs="Calibri"/>
          <w:sz w:val="22"/>
          <w:szCs w:val="22"/>
        </w:rPr>
        <w:t xml:space="preserve"> - voskované ubrousky</w:t>
      </w:r>
      <w:r w:rsidR="00175F9D">
        <w:rPr>
          <w:rFonts w:ascii="Calibri" w:eastAsia="Calibri" w:hAnsi="Calibri" w:cs="Calibri"/>
          <w:sz w:val="22"/>
          <w:szCs w:val="22"/>
        </w:rPr>
        <w:t xml:space="preserve">“.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00435C8A" w14:textId="7B1DD760" w:rsidR="000C36D5" w:rsidRPr="000C36D5" w:rsidRDefault="00A746C4" w:rsidP="000C36D5">
      <w:pPr>
        <w:pStyle w:val="slolnku"/>
        <w:tabs>
          <w:tab w:val="center" w:pos="4478"/>
          <w:tab w:val="left" w:pos="7940"/>
        </w:tabs>
        <w:jc w:val="left"/>
        <w:rPr>
          <w:rFonts w:asciiTheme="majorHAnsi" w:hAnsiTheme="majorHAnsi" w:cs="Calibri"/>
        </w:rPr>
      </w:pPr>
      <w:r>
        <w:rPr>
          <w:rFonts w:asciiTheme="majorHAnsi" w:hAnsiTheme="majorHAnsi" w:cs="Calibri"/>
        </w:rPr>
        <w:lastRenderedPageBreak/>
        <w:tab/>
      </w:r>
      <w:r w:rsidR="0011127B" w:rsidRPr="00F449A1">
        <w:rPr>
          <w:rFonts w:asciiTheme="majorHAnsi" w:hAnsiTheme="majorHAnsi" w:cs="Calibri"/>
        </w:rPr>
        <w:t>IV.</w:t>
      </w:r>
      <w:r w:rsidR="000C36D5">
        <w:tab/>
      </w:r>
    </w:p>
    <w:p w14:paraId="3341D494" w14:textId="77777777" w:rsidR="000C36D5" w:rsidRDefault="000C36D5" w:rsidP="000C36D5">
      <w:pPr>
        <w:pStyle w:val="Nadpislnku"/>
      </w:pPr>
      <w:r>
        <w:t>Poddodavatelé prodávajícího</w:t>
      </w:r>
    </w:p>
    <w:p w14:paraId="7F84FF50" w14:textId="6073FB6F"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2C43AE94" w14:textId="28DD3749"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3B8D29D3" w14:textId="1F96C655"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318A5720" w14:textId="1962B8D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6D6EC385" w14:textId="7F2E3E0A" w:rsidR="000C36D5" w:rsidRPr="002B74A3"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Nesplnění povinností prodávajícího dle tohoto od</w:t>
      </w:r>
      <w:r w:rsidRPr="002B74A3">
        <w:rPr>
          <w:rFonts w:ascii="Calibri" w:hAnsi="Calibri" w:cs="Calibri"/>
          <w:sz w:val="22"/>
          <w:szCs w:val="22"/>
        </w:rPr>
        <w:t>stavce se považuje za podstatné porušení smlouvy.</w:t>
      </w:r>
    </w:p>
    <w:p w14:paraId="7D311411" w14:textId="2E74B1FD" w:rsidR="000C36D5" w:rsidRPr="002B74A3" w:rsidRDefault="000C36D5" w:rsidP="006F0E61">
      <w:pPr>
        <w:pStyle w:val="slolnku"/>
        <w:spacing w:before="0"/>
        <w:rPr>
          <w:rFonts w:asciiTheme="majorHAnsi" w:hAnsiTheme="majorHAnsi"/>
        </w:rPr>
      </w:pPr>
      <w:r w:rsidRPr="002B74A3">
        <w:rPr>
          <w:rFonts w:asciiTheme="majorHAnsi" w:hAnsiTheme="majorHAnsi"/>
        </w:rPr>
        <w:t>V.</w:t>
      </w:r>
    </w:p>
    <w:p w14:paraId="05137EB1" w14:textId="2256F63C" w:rsidR="0011127B" w:rsidRPr="002B74A3" w:rsidRDefault="0011127B" w:rsidP="006F0E61">
      <w:pPr>
        <w:pStyle w:val="slolnku"/>
        <w:spacing w:before="0"/>
        <w:rPr>
          <w:rFonts w:asciiTheme="majorHAnsi" w:hAnsiTheme="majorHAnsi"/>
        </w:rPr>
      </w:pPr>
      <w:r w:rsidRPr="002B74A3">
        <w:rPr>
          <w:rFonts w:asciiTheme="majorHAnsi" w:hAnsiTheme="majorHAnsi"/>
        </w:rPr>
        <w:t>Odevzdání a převzetí</w:t>
      </w:r>
    </w:p>
    <w:p w14:paraId="10E95C14" w14:textId="153819A3" w:rsidR="00BF11B8" w:rsidRPr="002B74A3" w:rsidRDefault="0011127B" w:rsidP="00BF11B8">
      <w:pPr>
        <w:pStyle w:val="Textslodst"/>
        <w:numPr>
          <w:ilvl w:val="0"/>
          <w:numId w:val="9"/>
        </w:numPr>
        <w:tabs>
          <w:tab w:val="clear" w:pos="1260"/>
        </w:tabs>
        <w:ind w:left="0"/>
        <w:rPr>
          <w:rFonts w:ascii="Calibri" w:hAnsi="Calibri" w:cs="Calibri"/>
          <w:sz w:val="22"/>
          <w:szCs w:val="22"/>
        </w:rPr>
      </w:pPr>
      <w:r w:rsidRPr="002B74A3">
        <w:rPr>
          <w:rFonts w:asciiTheme="minorHAnsi" w:hAnsiTheme="minorHAnsi" w:cs="Calibri"/>
          <w:sz w:val="22"/>
          <w:szCs w:val="22"/>
        </w:rPr>
        <w:t>Místem plnění j</w:t>
      </w:r>
      <w:r w:rsidR="004A086F" w:rsidRPr="002B74A3">
        <w:rPr>
          <w:rFonts w:asciiTheme="minorHAnsi" w:hAnsiTheme="minorHAnsi" w:cs="Calibri"/>
          <w:sz w:val="22"/>
          <w:szCs w:val="22"/>
        </w:rPr>
        <w:t xml:space="preserve">e </w:t>
      </w:r>
      <w:r w:rsidR="00BF11B8" w:rsidRPr="002B74A3">
        <w:rPr>
          <w:rFonts w:ascii="Calibri" w:hAnsi="Calibri" w:cs="Calibri"/>
          <w:sz w:val="22"/>
          <w:szCs w:val="22"/>
        </w:rPr>
        <w:t>Divadelní fakulta Janáčkovy akademie múzických uměn</w:t>
      </w:r>
      <w:r w:rsidR="00B76405" w:rsidRPr="002B74A3">
        <w:rPr>
          <w:rFonts w:ascii="Calibri" w:hAnsi="Calibri" w:cs="Calibri"/>
          <w:sz w:val="22"/>
          <w:szCs w:val="22"/>
        </w:rPr>
        <w:t>í</w:t>
      </w:r>
      <w:r w:rsidR="00BF11B8" w:rsidRPr="002B74A3">
        <w:rPr>
          <w:rFonts w:ascii="Calibri" w:hAnsi="Calibri" w:cs="Calibri"/>
          <w:sz w:val="22"/>
          <w:szCs w:val="22"/>
        </w:rPr>
        <w:t xml:space="preserve">, Mozartova 647/1, 662 15 Brno. </w:t>
      </w:r>
    </w:p>
    <w:p w14:paraId="53C1F84C" w14:textId="26669622" w:rsidR="00646A0C" w:rsidRPr="002B74A3" w:rsidRDefault="0011127B" w:rsidP="00BF11B8">
      <w:pPr>
        <w:pStyle w:val="Textslodst"/>
        <w:numPr>
          <w:ilvl w:val="0"/>
          <w:numId w:val="9"/>
        </w:numPr>
        <w:tabs>
          <w:tab w:val="clear" w:pos="1260"/>
        </w:tabs>
        <w:ind w:left="0"/>
        <w:rPr>
          <w:rFonts w:ascii="Calibri" w:hAnsi="Calibri" w:cs="Calibri"/>
          <w:sz w:val="22"/>
          <w:szCs w:val="22"/>
        </w:rPr>
      </w:pPr>
      <w:r w:rsidRPr="002B74A3">
        <w:rPr>
          <w:rFonts w:ascii="Calibri" w:hAnsi="Calibri" w:cs="Calibri"/>
          <w:sz w:val="22"/>
          <w:szCs w:val="22"/>
        </w:rPr>
        <w:t xml:space="preserve">Prodávající je </w:t>
      </w:r>
      <w:r w:rsidR="00EE55C3" w:rsidRPr="002B74A3">
        <w:rPr>
          <w:rFonts w:ascii="Calibri" w:hAnsi="Calibri" w:cs="Calibri"/>
          <w:sz w:val="22"/>
          <w:szCs w:val="22"/>
        </w:rPr>
        <w:t>povine</w:t>
      </w:r>
      <w:r w:rsidRPr="002B74A3">
        <w:rPr>
          <w:rFonts w:ascii="Calibri" w:hAnsi="Calibri" w:cs="Calibri"/>
          <w:sz w:val="22"/>
          <w:szCs w:val="22"/>
        </w:rPr>
        <w:t xml:space="preserve">n věc kupujícímu </w:t>
      </w:r>
      <w:r w:rsidR="002A49DC" w:rsidRPr="002B74A3">
        <w:rPr>
          <w:rFonts w:ascii="Calibri" w:hAnsi="Calibri" w:cs="Calibri"/>
          <w:sz w:val="22"/>
          <w:szCs w:val="22"/>
        </w:rPr>
        <w:t>odevzdat</w:t>
      </w:r>
      <w:r w:rsidR="00FD6C35" w:rsidRPr="002B74A3">
        <w:rPr>
          <w:rFonts w:ascii="Calibri" w:hAnsi="Calibri" w:cs="Calibri"/>
          <w:sz w:val="22"/>
          <w:szCs w:val="22"/>
        </w:rPr>
        <w:t xml:space="preserve"> </w:t>
      </w:r>
      <w:r w:rsidR="00E14F0E" w:rsidRPr="002B74A3">
        <w:rPr>
          <w:rFonts w:ascii="Calibri" w:hAnsi="Calibri" w:cs="Calibri"/>
          <w:sz w:val="22"/>
          <w:szCs w:val="22"/>
        </w:rPr>
        <w:t xml:space="preserve">nejpozději do </w:t>
      </w:r>
      <w:r w:rsidR="00D23635" w:rsidRPr="002B74A3">
        <w:rPr>
          <w:rFonts w:ascii="Calibri" w:hAnsi="Calibri" w:cs="Calibri"/>
          <w:sz w:val="22"/>
          <w:szCs w:val="22"/>
        </w:rPr>
        <w:t>60</w:t>
      </w:r>
      <w:r w:rsidR="006867C4" w:rsidRPr="002B74A3">
        <w:rPr>
          <w:rFonts w:ascii="Calibri" w:hAnsi="Calibri" w:cs="Calibri"/>
          <w:sz w:val="22"/>
          <w:szCs w:val="22"/>
        </w:rPr>
        <w:t xml:space="preserve"> dnů</w:t>
      </w:r>
      <w:r w:rsidR="00646A0C" w:rsidRPr="002B74A3">
        <w:rPr>
          <w:rFonts w:ascii="Calibri" w:hAnsi="Calibri" w:cs="Calibri"/>
          <w:sz w:val="22"/>
          <w:szCs w:val="22"/>
        </w:rPr>
        <w:t xml:space="preserve"> od zveřejnění smlouvy v registru smluv. Dodavatel je povinen předmět veřejné zakázky předat v pracovní dny v době od 9.00 do 15.00 hod. </w:t>
      </w:r>
    </w:p>
    <w:p w14:paraId="2FC48601" w14:textId="07E0545A" w:rsidR="00F2781B" w:rsidRPr="002B74A3" w:rsidRDefault="00F2781B" w:rsidP="00B76405">
      <w:pPr>
        <w:pStyle w:val="Textslodst"/>
        <w:numPr>
          <w:ilvl w:val="0"/>
          <w:numId w:val="9"/>
        </w:numPr>
        <w:tabs>
          <w:tab w:val="clear" w:pos="1260"/>
        </w:tabs>
        <w:ind w:left="0"/>
        <w:rPr>
          <w:rFonts w:asciiTheme="minorHAnsi" w:hAnsiTheme="minorHAnsi" w:cs="Calibri"/>
          <w:sz w:val="22"/>
          <w:szCs w:val="22"/>
        </w:rPr>
      </w:pPr>
      <w:r w:rsidRPr="002B74A3">
        <w:rPr>
          <w:rFonts w:asciiTheme="minorHAnsi" w:hAnsiTheme="minorHAnsi" w:cs="Calibri"/>
          <w:sz w:val="22"/>
          <w:szCs w:val="22"/>
        </w:rPr>
        <w:t>Před dodáním věci musí být kupujícím odsouhlasena finální podoba věci včetně grafické vizualizace.</w:t>
      </w:r>
    </w:p>
    <w:p w14:paraId="7A56B3C8" w14:textId="744FAD9E" w:rsidR="00441D02" w:rsidRPr="002B74A3" w:rsidRDefault="00BD3B51" w:rsidP="00B76405">
      <w:pPr>
        <w:pStyle w:val="Textslodst"/>
        <w:numPr>
          <w:ilvl w:val="0"/>
          <w:numId w:val="9"/>
        </w:numPr>
        <w:tabs>
          <w:tab w:val="clear" w:pos="1260"/>
        </w:tabs>
        <w:ind w:left="0"/>
        <w:rPr>
          <w:rFonts w:asciiTheme="minorHAnsi" w:hAnsiTheme="minorHAnsi" w:cs="Calibri"/>
          <w:sz w:val="22"/>
          <w:szCs w:val="22"/>
        </w:rPr>
      </w:pPr>
      <w:r w:rsidRPr="002B74A3">
        <w:rPr>
          <w:rFonts w:ascii="Calibri" w:hAnsi="Calibri" w:cs="Calibri"/>
          <w:sz w:val="22"/>
          <w:szCs w:val="22"/>
        </w:rPr>
        <w:t xml:space="preserve">O zvoleném termínu informuje prodávající kupujícího alespoň 3 pracovní dny </w:t>
      </w:r>
      <w:r w:rsidR="0011127B" w:rsidRPr="002B74A3">
        <w:rPr>
          <w:rFonts w:ascii="Calibri" w:hAnsi="Calibri" w:cs="Calibri"/>
          <w:sz w:val="22"/>
          <w:szCs w:val="22"/>
        </w:rPr>
        <w:t>předem.</w:t>
      </w:r>
      <w:r w:rsidR="00855BD2" w:rsidRPr="002B74A3">
        <w:rPr>
          <w:rFonts w:ascii="Calibri" w:hAnsi="Calibri" w:cs="Calibri"/>
          <w:sz w:val="22"/>
          <w:szCs w:val="22"/>
        </w:rPr>
        <w:t xml:space="preserve"> </w:t>
      </w:r>
    </w:p>
    <w:p w14:paraId="6B3C052D" w14:textId="77777777" w:rsidR="00F4100F" w:rsidRPr="002B74A3" w:rsidRDefault="00F4100F" w:rsidP="00B76405">
      <w:pPr>
        <w:pStyle w:val="Textslodst"/>
        <w:numPr>
          <w:ilvl w:val="0"/>
          <w:numId w:val="9"/>
        </w:numPr>
        <w:tabs>
          <w:tab w:val="clear" w:pos="1260"/>
        </w:tabs>
        <w:ind w:left="0"/>
        <w:rPr>
          <w:rFonts w:asciiTheme="minorHAnsi" w:hAnsiTheme="minorHAnsi" w:cs="Calibri"/>
          <w:sz w:val="22"/>
          <w:szCs w:val="22"/>
        </w:rPr>
      </w:pPr>
      <w:r w:rsidRPr="002B74A3">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B76405">
      <w:pPr>
        <w:pStyle w:val="Textslodst"/>
        <w:numPr>
          <w:ilvl w:val="0"/>
          <w:numId w:val="9"/>
        </w:numPr>
        <w:tabs>
          <w:tab w:val="clear" w:pos="1260"/>
        </w:tabs>
        <w:ind w:left="0"/>
        <w:rPr>
          <w:rFonts w:asciiTheme="minorHAnsi" w:hAnsiTheme="minorHAnsi" w:cs="Calibri"/>
          <w:sz w:val="22"/>
          <w:szCs w:val="22"/>
        </w:rPr>
      </w:pPr>
      <w:r w:rsidRPr="002B74A3">
        <w:rPr>
          <w:rFonts w:ascii="Calibri" w:hAnsi="Calibri" w:cs="Calibri"/>
          <w:sz w:val="22"/>
          <w:szCs w:val="22"/>
        </w:rPr>
        <w:t>Kupující nabude vlastnické právo převzetím věci. Vytkl-li kupující vady plnění,</w:t>
      </w:r>
      <w:r w:rsidRPr="003766CA">
        <w:rPr>
          <w:rFonts w:ascii="Calibri" w:hAnsi="Calibri" w:cs="Calibri"/>
          <w:sz w:val="22"/>
          <w:szCs w:val="22"/>
        </w:rPr>
        <w:t xml:space="preserve"> přechází na něj nebezpečí škody na věci až odstraněním vad.</w:t>
      </w:r>
    </w:p>
    <w:p w14:paraId="1A86FAAA" w14:textId="77777777" w:rsidR="00031205" w:rsidRPr="002C79EC" w:rsidRDefault="00031205"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76405">
      <w:pPr>
        <w:pStyle w:val="Textslodst"/>
        <w:numPr>
          <w:ilvl w:val="0"/>
          <w:numId w:val="9"/>
        </w:numPr>
        <w:tabs>
          <w:tab w:val="clear" w:pos="1260"/>
        </w:tabs>
        <w:ind w:left="0"/>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4DDD04AF" w:rsidR="006F0E61" w:rsidRDefault="00510604" w:rsidP="00DC6EFE">
      <w:pPr>
        <w:pStyle w:val="slolnku"/>
        <w:rPr>
          <w:rFonts w:asciiTheme="majorHAnsi" w:hAnsiTheme="majorHAnsi" w:cs="Calibri"/>
        </w:rPr>
      </w:pPr>
      <w:r w:rsidRPr="008C1EA5">
        <w:rPr>
          <w:rFonts w:asciiTheme="majorHAnsi" w:hAnsiTheme="majorHAnsi" w:cs="Calibri"/>
        </w:rPr>
        <w:t>V</w:t>
      </w:r>
      <w:r w:rsidR="000C36D5">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lastRenderedPageBreak/>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Slovy:  ……………………………………………………………………………………………………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33099C3F"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000C36D5">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12BBDB3B"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0C36D5">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658162D1" w:rsidR="006F0E61" w:rsidRDefault="000C36D5" w:rsidP="00DC6EFE">
      <w:pPr>
        <w:pStyle w:val="slolnku"/>
        <w:rPr>
          <w:rFonts w:asciiTheme="majorHAnsi" w:hAnsiTheme="majorHAnsi" w:cs="Calibri"/>
        </w:rPr>
      </w:pPr>
      <w:r>
        <w:rPr>
          <w:rFonts w:asciiTheme="majorHAnsi" w:hAnsiTheme="majorHAnsi" w:cs="Calibri"/>
        </w:rPr>
        <w:lastRenderedPageBreak/>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FB8D234"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6064EC68"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0C36D5">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1ACE319E" w:rsidR="006F0E61" w:rsidRPr="00F449A1" w:rsidRDefault="000807CE" w:rsidP="00DC6EFE">
      <w:pPr>
        <w:pStyle w:val="slolnku"/>
        <w:rPr>
          <w:rFonts w:asciiTheme="majorHAnsi" w:hAnsiTheme="majorHAnsi" w:cs="Calibri"/>
        </w:rPr>
      </w:pPr>
      <w:r w:rsidRPr="00F449A1">
        <w:rPr>
          <w:rFonts w:asciiTheme="majorHAnsi" w:hAnsiTheme="majorHAnsi" w:cs="Calibri"/>
        </w:rPr>
        <w:lastRenderedPageBreak/>
        <w:t>X</w:t>
      </w:r>
      <w:r w:rsidR="00C8231C" w:rsidRPr="00F449A1">
        <w:rPr>
          <w:rFonts w:asciiTheme="majorHAnsi" w:hAnsiTheme="majorHAnsi" w:cs="Calibri"/>
        </w:rPr>
        <w:t>I</w:t>
      </w:r>
      <w:r w:rsidR="000C36D5">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656F3311"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877E43">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4A8B60E9" w14:textId="77777777" w:rsidR="00877E43" w:rsidRPr="00877E43" w:rsidRDefault="00877E43" w:rsidP="00877E43">
      <w:pPr>
        <w:pStyle w:val="Odstavecseseznamem"/>
        <w:numPr>
          <w:ilvl w:val="0"/>
          <w:numId w:val="34"/>
        </w:numPr>
        <w:ind w:left="0" w:firstLine="709"/>
        <w:rPr>
          <w:rFonts w:asciiTheme="minorHAnsi" w:hAnsiTheme="minorHAnsi" w:cs="Calibri"/>
          <w:sz w:val="22"/>
          <w:szCs w:val="22"/>
        </w:rPr>
      </w:pPr>
      <w:r w:rsidRPr="00877E43">
        <w:rPr>
          <w:rFonts w:asciiTheme="minorHAnsi" w:hAnsiTheme="minorHAnsi" w:cs="Calibri"/>
          <w:sz w:val="22"/>
          <w:szCs w:val="22"/>
        </w:rPr>
        <w:t>Od této smlouvy může kterákoli strana písemně odstoupit, pokud dojde k podstatnému porušení smlouvy druhou stranou. Účinky odstoupení od smlouvy nastanou dnem, kdy odstoupení dojde druhé smluvní straně.</w:t>
      </w:r>
    </w:p>
    <w:p w14:paraId="371AC7E7" w14:textId="4A5EB322"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052918C1"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8D785F">
        <w:rPr>
          <w:rFonts w:ascii="Calibri" w:hAnsi="Calibri" w:cs="Calibri"/>
          <w:sz w:val="22"/>
          <w:szCs w:val="22"/>
        </w:rPr>
        <w:t>10</w:t>
      </w:r>
      <w:r w:rsidR="00335EFE" w:rsidRPr="00F449A1">
        <w:rPr>
          <w:rFonts w:ascii="Calibri" w:hAnsi="Calibri" w:cs="Calibri"/>
          <w:sz w:val="22"/>
          <w:szCs w:val="22"/>
        </w:rPr>
        <w:t>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61E8C07D" w:rsidR="00444D2D"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7F8F6D40" w14:textId="0D90E04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sidR="00695761">
        <w:rPr>
          <w:rFonts w:ascii="Calibri" w:hAnsi="Calibri" w:cs="Calibri"/>
          <w:sz w:val="22"/>
          <w:szCs w:val="22"/>
        </w:rPr>
        <w:t>1</w:t>
      </w:r>
      <w:r w:rsidRPr="0061385F">
        <w:rPr>
          <w:rFonts w:ascii="Calibri" w:hAnsi="Calibri" w:cs="Calibri"/>
          <w:sz w:val="22"/>
          <w:szCs w:val="22"/>
        </w:rPr>
        <w:t xml:space="preserve"> 000 Kč za každé porušení.</w:t>
      </w:r>
    </w:p>
    <w:p w14:paraId="3C5F1EFF" w14:textId="43D2A1C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sidR="00695761">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B5E43B5" w14:textId="77777777" w:rsidR="000E6CF7" w:rsidRPr="000E6CF7" w:rsidRDefault="000E6CF7" w:rsidP="000E6CF7">
      <w:pPr>
        <w:pStyle w:val="Textslodst"/>
        <w:numPr>
          <w:ilvl w:val="0"/>
          <w:numId w:val="6"/>
        </w:numPr>
        <w:rPr>
          <w:rFonts w:ascii="Calibri" w:hAnsi="Calibri" w:cs="Calibri"/>
          <w:sz w:val="22"/>
          <w:szCs w:val="22"/>
        </w:rPr>
      </w:pPr>
      <w:r w:rsidRPr="000E6CF7">
        <w:rPr>
          <w:rFonts w:ascii="Calibri" w:hAnsi="Calibri" w:cs="Calibri"/>
          <w:sz w:val="22"/>
          <w:szCs w:val="22"/>
        </w:rPr>
        <w:lastRenderedPageBreak/>
        <w:t xml:space="preserve">Tato smlouva bude uzavřena v elektronické nebo listinné podobě, v závislosti na možnostech a dohodě smluvních stran. </w:t>
      </w:r>
    </w:p>
    <w:p w14:paraId="0A5840B6" w14:textId="7008ED97" w:rsidR="000E6CF7" w:rsidRPr="000E6CF7" w:rsidRDefault="000E6CF7" w:rsidP="000E6CF7">
      <w:pPr>
        <w:pStyle w:val="Textslodst"/>
        <w:numPr>
          <w:ilvl w:val="1"/>
          <w:numId w:val="6"/>
        </w:numPr>
        <w:rPr>
          <w:rFonts w:ascii="Calibri" w:hAnsi="Calibri" w:cs="Calibri"/>
          <w:sz w:val="22"/>
          <w:szCs w:val="22"/>
        </w:rPr>
      </w:pPr>
      <w:r>
        <w:rPr>
          <w:rFonts w:ascii="Calibri" w:hAnsi="Calibri" w:cs="Calibri"/>
          <w:sz w:val="22"/>
          <w:szCs w:val="22"/>
        </w:rPr>
        <w:t xml:space="preserve">   </w:t>
      </w:r>
      <w:r w:rsidRPr="000E6CF7">
        <w:rPr>
          <w:rFonts w:ascii="Calibri" w:hAnsi="Calibri" w:cs="Calibri"/>
          <w:sz w:val="22"/>
          <w:szCs w:val="22"/>
        </w:rPr>
        <w:t>V případě uzavření v listinné podobě bude vyhotovena ve čtyřech stejnopisech, z nichž každý má platnost originálu a každá smluvní strana obdrží po dvou z nich.</w:t>
      </w:r>
    </w:p>
    <w:p w14:paraId="7AB99322" w14:textId="77777777" w:rsidR="000E6CF7" w:rsidRDefault="000E6CF7" w:rsidP="000E6CF7">
      <w:pPr>
        <w:pStyle w:val="Textslodst"/>
        <w:numPr>
          <w:ilvl w:val="1"/>
          <w:numId w:val="6"/>
        </w:numPr>
        <w:rPr>
          <w:rFonts w:ascii="Calibri" w:hAnsi="Calibri" w:cs="Calibri"/>
          <w:sz w:val="22"/>
          <w:szCs w:val="22"/>
        </w:rPr>
      </w:pPr>
      <w:r w:rsidRPr="000E6CF7">
        <w:rPr>
          <w:rFonts w:ascii="Calibri" w:hAnsi="Calibri" w:cs="Calibri"/>
          <w:sz w:val="22"/>
          <w:szCs w:val="22"/>
        </w:rPr>
        <w:t>V případě uzavření v elektronické podobě bude uzavřena připojením zaručených elektronických podpisů obou smluvních stran.</w:t>
      </w:r>
    </w:p>
    <w:p w14:paraId="6FC45B65" w14:textId="3C4E6ACD" w:rsidR="000E6CF7" w:rsidRPr="000E6CF7" w:rsidRDefault="000E6CF7" w:rsidP="000E6CF7">
      <w:pPr>
        <w:pStyle w:val="Textslodst"/>
        <w:ind w:left="1440" w:hanging="306"/>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111BAB46"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w:t>
      </w:r>
      <w:r w:rsidR="00C41293">
        <w:rPr>
          <w:rFonts w:ascii="Calibri" w:hAnsi="Calibri" w:cs="Calibri"/>
          <w:sz w:val="22"/>
          <w:szCs w:val="22"/>
        </w:rPr>
        <w:lastRenderedPageBreak/>
        <w:t>a</w:t>
      </w:r>
      <w:r w:rsidR="008313B6">
        <w:rPr>
          <w:rFonts w:ascii="Calibri" w:hAnsi="Calibri" w:cs="Calibri"/>
          <w:sz w:val="22"/>
          <w:szCs w:val="22"/>
        </w:rPr>
        <w:t> </w:t>
      </w:r>
      <w:r w:rsidR="00C41293">
        <w:rPr>
          <w:rFonts w:ascii="Calibri" w:hAnsi="Calibri" w:cs="Calibri"/>
          <w:sz w:val="22"/>
          <w:szCs w:val="22"/>
        </w:rPr>
        <w:t xml:space="preserve">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1B785D7C" w14:textId="4DAF004F" w:rsidR="007D762E" w:rsidRDefault="00F071C4" w:rsidP="00843C99">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kalkulace </w:t>
      </w:r>
      <w:r w:rsidR="00B50307">
        <w:rPr>
          <w:rFonts w:ascii="Calibri" w:hAnsi="Calibri" w:cs="Calibri"/>
          <w:sz w:val="22"/>
          <w:szCs w:val="22"/>
        </w:rPr>
        <w:t>–</w:t>
      </w:r>
      <w:r w:rsidR="00CF3ADA">
        <w:rPr>
          <w:rFonts w:ascii="Calibri" w:hAnsi="Calibri" w:cs="Calibri"/>
          <w:sz w:val="22"/>
          <w:szCs w:val="22"/>
        </w:rPr>
        <w:t xml:space="preserve"> </w:t>
      </w:r>
      <w:r w:rsidR="00843C99" w:rsidRPr="00656303">
        <w:rPr>
          <w:rFonts w:ascii="Calibri" w:hAnsi="Calibri" w:cs="Calibri"/>
          <w:sz w:val="22"/>
          <w:szCs w:val="22"/>
        </w:rPr>
        <w:t xml:space="preserve">Propagační předměty - </w:t>
      </w:r>
      <w:r w:rsidR="00843C99" w:rsidRPr="002E2544">
        <w:rPr>
          <w:rFonts w:ascii="Calibri" w:hAnsi="Calibri" w:cs="Calibri"/>
          <w:sz w:val="22"/>
          <w:szCs w:val="22"/>
        </w:rPr>
        <w:t>voskované ubrousky</w:t>
      </w:r>
    </w:p>
    <w:p w14:paraId="73A72274" w14:textId="77777777" w:rsidR="003766CA" w:rsidRPr="003766CA" w:rsidRDefault="003766CA" w:rsidP="00E2720B">
      <w:pPr>
        <w:pStyle w:val="Textslodst"/>
        <w:jc w:val="left"/>
        <w:rPr>
          <w:rFonts w:ascii="Calibri" w:hAnsi="Calibri" w:cs="Calibri"/>
          <w:sz w:val="22"/>
          <w:szCs w:val="22"/>
        </w:rPr>
      </w:pPr>
    </w:p>
    <w:p w14:paraId="6DE1B61F" w14:textId="30FBB073" w:rsidR="00783F5A" w:rsidRDefault="00783F5A" w:rsidP="00E2720B">
      <w:pPr>
        <w:pStyle w:val="Textslodst"/>
        <w:jc w:val="left"/>
        <w:rPr>
          <w:rFonts w:ascii="Calibri" w:hAnsi="Calibri" w:cs="Calibri"/>
          <w:sz w:val="22"/>
          <w:szCs w:val="22"/>
        </w:rPr>
      </w:pPr>
    </w:p>
    <w:p w14:paraId="42ACEADE" w14:textId="77777777" w:rsidR="00843C99" w:rsidRPr="003766CA" w:rsidRDefault="00843C99" w:rsidP="00E2720B">
      <w:pPr>
        <w:pStyle w:val="Textslodst"/>
        <w:jc w:val="left"/>
        <w:rPr>
          <w:rFonts w:ascii="Calibri" w:hAnsi="Calibri" w:cs="Calibri"/>
          <w:sz w:val="22"/>
          <w:szCs w:val="22"/>
        </w:rPr>
      </w:pPr>
    </w:p>
    <w:p w14:paraId="0714B861" w14:textId="6E9818B4" w:rsidR="00E2720B" w:rsidRPr="003766CA" w:rsidRDefault="009E3B62" w:rsidP="00E019B1">
      <w:pPr>
        <w:tabs>
          <w:tab w:val="center" w:pos="1985"/>
          <w:tab w:val="center" w:pos="6379"/>
        </w:tabs>
        <w:rPr>
          <w:rFonts w:ascii="Calibri" w:hAnsi="Calibri" w:cs="Calibri"/>
          <w:sz w:val="22"/>
          <w:szCs w:val="22"/>
        </w:rPr>
      </w:pPr>
      <w:r>
        <w:rPr>
          <w:rFonts w:ascii="Calibri" w:hAnsi="Calibri" w:cs="Calibri"/>
          <w:sz w:val="22"/>
          <w:szCs w:val="22"/>
        </w:rPr>
        <w:t>V</w:t>
      </w:r>
      <w:r w:rsidR="008F2744">
        <w:rPr>
          <w:rFonts w:ascii="Calibri" w:hAnsi="Calibri" w:cs="Calibri"/>
          <w:sz w:val="22"/>
          <w:szCs w:val="22"/>
        </w:rPr>
        <w:t> </w:t>
      </w:r>
      <w:r w:rsidR="00E019B1">
        <w:rPr>
          <w:rFonts w:ascii="Calibri" w:hAnsi="Calibri" w:cs="Calibri"/>
          <w:sz w:val="22"/>
          <w:szCs w:val="22"/>
        </w:rPr>
        <w:t>………………..</w:t>
      </w:r>
      <w:r w:rsidR="00000B03" w:rsidRPr="003766CA">
        <w:rPr>
          <w:rFonts w:ascii="Calibri" w:hAnsi="Calibri" w:cs="Calibri"/>
          <w:sz w:val="22"/>
          <w:szCs w:val="22"/>
        </w:rPr>
        <w:tab/>
      </w:r>
      <w:r w:rsidR="00E019B1">
        <w:rPr>
          <w:rFonts w:ascii="Calibri" w:hAnsi="Calibri" w:cs="Calibri"/>
          <w:sz w:val="22"/>
          <w:szCs w:val="22"/>
        </w:rPr>
        <w:t xml:space="preserve">                     </w:t>
      </w:r>
      <w:r w:rsidR="00E019B1">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default" r:id="rId8"/>
      <w:footerReference w:type="even" r:id="rId9"/>
      <w:footerReference w:type="default" r:id="rId10"/>
      <w:headerReference w:type="first" r:id="rId11"/>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15D1" w14:textId="77777777" w:rsidR="0043365E" w:rsidRDefault="0043365E">
      <w:r>
        <w:separator/>
      </w:r>
    </w:p>
    <w:p w14:paraId="3C92BE14" w14:textId="77777777" w:rsidR="0043365E" w:rsidRDefault="0043365E"/>
  </w:endnote>
  <w:endnote w:type="continuationSeparator" w:id="0">
    <w:p w14:paraId="7296F431" w14:textId="77777777" w:rsidR="0043365E" w:rsidRDefault="0043365E">
      <w:r>
        <w:continuationSeparator/>
      </w:r>
    </w:p>
    <w:p w14:paraId="2422F3B0" w14:textId="77777777" w:rsidR="0043365E" w:rsidRDefault="0043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Calibri"/>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6C81" w14:textId="77777777" w:rsidR="0043365E" w:rsidRDefault="0043365E">
      <w:r>
        <w:separator/>
      </w:r>
    </w:p>
    <w:p w14:paraId="35B535BB" w14:textId="77777777" w:rsidR="0043365E" w:rsidRDefault="0043365E"/>
  </w:footnote>
  <w:footnote w:type="continuationSeparator" w:id="0">
    <w:p w14:paraId="04E1D2F9" w14:textId="77777777" w:rsidR="0043365E" w:rsidRDefault="0043365E">
      <w:r>
        <w:continuationSeparator/>
      </w:r>
    </w:p>
    <w:p w14:paraId="66673DF9" w14:textId="77777777" w:rsidR="0043365E" w:rsidRDefault="00433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D98" w14:textId="68F73704" w:rsidR="00B27C4D" w:rsidRDefault="00FD2AF0" w:rsidP="00881B20">
    <w:pPr>
      <w:pStyle w:val="Zhlav"/>
      <w:jc w:val="right"/>
      <w:rPr>
        <w:rFonts w:asciiTheme="minorHAnsi" w:hAnsiTheme="minorHAnsi" w:cstheme="minorHAnsi"/>
        <w:i/>
        <w:sz w:val="20"/>
      </w:rPr>
    </w:pPr>
    <w:r>
      <w:rPr>
        <w:noProof/>
      </w:rPr>
      <w:drawing>
        <wp:inline distT="0" distB="0" distL="0" distR="0" wp14:anchorId="6F067E8D" wp14:editId="6731C8DA">
          <wp:extent cx="5759450" cy="1279525"/>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9525"/>
                  </a:xfrm>
                  <a:prstGeom prst="rect">
                    <a:avLst/>
                  </a:prstGeom>
                  <a:noFill/>
                </pic:spPr>
              </pic:pic>
            </a:graphicData>
          </a:graphic>
        </wp:inline>
      </w:drawing>
    </w:r>
    <w:r w:rsidR="00B27C4D">
      <w:rPr>
        <w:rFonts w:asciiTheme="minorHAnsi" w:hAnsiTheme="minorHAnsi" w:cstheme="minorHAnsi"/>
        <w:i/>
        <w:sz w:val="20"/>
      </w:rPr>
      <w:t>Smlouva o koupi –</w:t>
    </w:r>
  </w:p>
  <w:p w14:paraId="1014A013" w14:textId="61B9B7DD" w:rsidR="00B27C4D" w:rsidRPr="003E481D" w:rsidRDefault="00BB3271" w:rsidP="00FD6C35">
    <w:pPr>
      <w:pStyle w:val="Zhlav"/>
      <w:pBdr>
        <w:bottom w:val="single" w:sz="4" w:space="1" w:color="auto"/>
      </w:pBdr>
      <w:jc w:val="right"/>
      <w:rPr>
        <w:rFonts w:asciiTheme="minorHAnsi" w:hAnsiTheme="minorHAnsi" w:cstheme="minorHAnsi"/>
        <w:i/>
        <w:sz w:val="20"/>
      </w:rPr>
    </w:pPr>
    <w:r>
      <w:rPr>
        <w:rFonts w:ascii="Calibri" w:hAnsi="Calibri" w:cs="Calibri"/>
        <w:i/>
        <w:sz w:val="18"/>
        <w:szCs w:val="18"/>
      </w:rPr>
      <w:t>„</w:t>
    </w:r>
    <w:r w:rsidR="00BF5E7F" w:rsidRPr="00BF5E7F">
      <w:rPr>
        <w:rFonts w:ascii="Calibri" w:hAnsi="Calibri" w:cs="Calibri"/>
        <w:i/>
        <w:sz w:val="18"/>
        <w:szCs w:val="18"/>
      </w:rPr>
      <w:t xml:space="preserve">Propagační předměty </w:t>
    </w:r>
    <w:r w:rsidR="002E6BCD">
      <w:rPr>
        <w:rFonts w:ascii="Calibri" w:hAnsi="Calibri" w:cs="Calibri"/>
        <w:i/>
        <w:sz w:val="18"/>
        <w:szCs w:val="18"/>
      </w:rPr>
      <w:t xml:space="preserve">DF </w:t>
    </w:r>
    <w:r w:rsidR="00BF5E7F" w:rsidRPr="00BF5E7F">
      <w:rPr>
        <w:rFonts w:ascii="Calibri" w:hAnsi="Calibri" w:cs="Calibri"/>
        <w:i/>
        <w:sz w:val="18"/>
        <w:szCs w:val="18"/>
      </w:rPr>
      <w:t>- voskované ubrousky</w:t>
    </w:r>
    <w:r>
      <w:rPr>
        <w:rFonts w:ascii="Calibri" w:hAnsi="Calibri" w:cs="Calibri"/>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9B7" w14:textId="77777777" w:rsidR="003E7B09" w:rsidRPr="009530B3" w:rsidRDefault="00531350" w:rsidP="003E7B09">
    <w:pPr>
      <w:spacing w:before="120"/>
      <w:jc w:val="right"/>
      <w:rPr>
        <w:rFonts w:asciiTheme="minorHAnsi" w:hAnsiTheme="minorHAnsi" w:cstheme="minorHAnsi"/>
        <w:sz w:val="22"/>
        <w:szCs w:val="22"/>
      </w:rPr>
    </w:pPr>
    <w:r>
      <w:rPr>
        <w:noProof/>
      </w:rPr>
      <w:drawing>
        <wp:inline distT="0" distB="0" distL="0" distR="0" wp14:anchorId="6D80C052" wp14:editId="7F5F0471">
          <wp:extent cx="5687695" cy="1262051"/>
          <wp:effectExtent l="0" t="0" r="0"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7B09" w:rsidRPr="009530B3">
      <w:rPr>
        <w:rFonts w:asciiTheme="minorHAnsi" w:hAnsiTheme="minorHAnsi" w:cstheme="minorHAnsi"/>
        <w:sz w:val="22"/>
        <w:szCs w:val="22"/>
      </w:rPr>
      <w:t>"</w:t>
    </w:r>
    <w:r w:rsidR="003E7B09">
      <w:rPr>
        <w:rFonts w:asciiTheme="minorHAnsi" w:hAnsiTheme="minorHAnsi" w:cstheme="minorHAnsi"/>
        <w:sz w:val="22"/>
        <w:szCs w:val="22"/>
      </w:rPr>
      <w:t>Zvýšení kvality vzdělávání na JAMU</w:t>
    </w:r>
    <w:r w:rsidR="003E7B09" w:rsidRPr="009530B3">
      <w:rPr>
        <w:rFonts w:asciiTheme="minorHAnsi" w:hAnsiTheme="minorHAnsi" w:cstheme="minorHAnsi"/>
        <w:sz w:val="22"/>
        <w:szCs w:val="22"/>
      </w:rPr>
      <w:t>"</w:t>
    </w:r>
  </w:p>
  <w:p w14:paraId="7F8A0D61" w14:textId="77777777" w:rsidR="003E7B09" w:rsidRPr="009530B3" w:rsidRDefault="003E7B09" w:rsidP="003E7B09">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6E304DFA" w14:textId="77777777" w:rsidR="003E7B09" w:rsidRDefault="003E7B09" w:rsidP="003E7B09">
    <w:pPr>
      <w:pStyle w:val="Zhlav"/>
      <w:jc w:val="right"/>
      <w:rPr>
        <w:rFonts w:asciiTheme="minorHAnsi" w:hAnsiTheme="minorHAnsi" w:cstheme="minorHAnsi"/>
        <w:sz w:val="22"/>
        <w:szCs w:val="22"/>
      </w:rPr>
    </w:pPr>
    <w:r w:rsidRPr="00DF7A8C">
      <w:rPr>
        <w:rFonts w:asciiTheme="minorHAnsi" w:hAnsiTheme="minorHAnsi" w:cstheme="minorHAnsi"/>
        <w:sz w:val="22"/>
        <w:szCs w:val="22"/>
      </w:rPr>
      <w:t>CZ.02.2.69/0.0/0.0/16_015/0002245</w:t>
    </w:r>
  </w:p>
  <w:p w14:paraId="084F8886" w14:textId="4E2C66E1" w:rsidR="00B27C4D" w:rsidRDefault="00B27C4D" w:rsidP="007426F2">
    <w:pPr>
      <w:pStyle w:val="Zhlav"/>
      <w:jc w:val="center"/>
      <w:rPr>
        <w:rFonts w:ascii="Cambria" w:hAnsi="Cambria"/>
        <w:b/>
        <w:caps/>
        <w:spacing w:val="50"/>
        <w:sz w:val="28"/>
        <w:szCs w:val="24"/>
      </w:rPr>
    </w:pPr>
  </w:p>
  <w:p w14:paraId="45458036" w14:textId="77777777" w:rsidR="00E140F5" w:rsidRDefault="00E140F5" w:rsidP="007426F2">
    <w:pPr>
      <w:pStyle w:val="Zhlav"/>
      <w:jc w:val="center"/>
      <w:rPr>
        <w:rFonts w:ascii="Cambria" w:hAnsi="Cambria"/>
        <w:b/>
        <w:caps/>
        <w:spacing w:val="5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3CEA43CE"/>
    <w:lvl w:ilvl="0" w:tplc="84646DA6">
      <w:start w:val="1"/>
      <w:numFmt w:val="decimal"/>
      <w:lvlText w:val="(%1)"/>
      <w:lvlJc w:val="left"/>
      <w:pPr>
        <w:ind w:left="1" w:firstLine="709"/>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45F2337"/>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5"/>
  </w:num>
  <w:num w:numId="5">
    <w:abstractNumId w:val="28"/>
  </w:num>
  <w:num w:numId="6">
    <w:abstractNumId w:val="10"/>
  </w:num>
  <w:num w:numId="7">
    <w:abstractNumId w:val="11"/>
  </w:num>
  <w:num w:numId="8">
    <w:abstractNumId w:val="13"/>
  </w:num>
  <w:num w:numId="9">
    <w:abstractNumId w:val="35"/>
  </w:num>
  <w:num w:numId="10">
    <w:abstractNumId w:val="17"/>
  </w:num>
  <w:num w:numId="11">
    <w:abstractNumId w:val="38"/>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7"/>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3"/>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9"/>
  </w:num>
  <w:num w:numId="39">
    <w:abstractNumId w:val="36"/>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26F7"/>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A75E7"/>
    <w:rsid w:val="000B1354"/>
    <w:rsid w:val="000B16BD"/>
    <w:rsid w:val="000C15C2"/>
    <w:rsid w:val="000C1824"/>
    <w:rsid w:val="000C1F61"/>
    <w:rsid w:val="000C319A"/>
    <w:rsid w:val="000C3378"/>
    <w:rsid w:val="000C36D5"/>
    <w:rsid w:val="000C4EFC"/>
    <w:rsid w:val="000D0476"/>
    <w:rsid w:val="000D066C"/>
    <w:rsid w:val="000D0B7F"/>
    <w:rsid w:val="000D37A2"/>
    <w:rsid w:val="000D3FD6"/>
    <w:rsid w:val="000D51D9"/>
    <w:rsid w:val="000E3965"/>
    <w:rsid w:val="000E4EA5"/>
    <w:rsid w:val="000E53AB"/>
    <w:rsid w:val="000E643C"/>
    <w:rsid w:val="000E6CF7"/>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2DBB"/>
    <w:rsid w:val="00133D74"/>
    <w:rsid w:val="001354BB"/>
    <w:rsid w:val="00137421"/>
    <w:rsid w:val="00141763"/>
    <w:rsid w:val="00141D8C"/>
    <w:rsid w:val="00144B8D"/>
    <w:rsid w:val="001454A0"/>
    <w:rsid w:val="00147398"/>
    <w:rsid w:val="001475A1"/>
    <w:rsid w:val="00150764"/>
    <w:rsid w:val="00152042"/>
    <w:rsid w:val="00152177"/>
    <w:rsid w:val="00152B6F"/>
    <w:rsid w:val="00154476"/>
    <w:rsid w:val="0015482E"/>
    <w:rsid w:val="001554B5"/>
    <w:rsid w:val="0016013B"/>
    <w:rsid w:val="001608A4"/>
    <w:rsid w:val="00161096"/>
    <w:rsid w:val="0016603E"/>
    <w:rsid w:val="00170288"/>
    <w:rsid w:val="00172EB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3D2"/>
    <w:rsid w:val="001C3A46"/>
    <w:rsid w:val="001C503B"/>
    <w:rsid w:val="001C575D"/>
    <w:rsid w:val="001C6208"/>
    <w:rsid w:val="001D29A8"/>
    <w:rsid w:val="001D3451"/>
    <w:rsid w:val="001D410A"/>
    <w:rsid w:val="001D7DCC"/>
    <w:rsid w:val="001E1F03"/>
    <w:rsid w:val="001E4819"/>
    <w:rsid w:val="001E4C96"/>
    <w:rsid w:val="001E5494"/>
    <w:rsid w:val="001E77E8"/>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2A8D"/>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4A3"/>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679D"/>
    <w:rsid w:val="002E6BCD"/>
    <w:rsid w:val="002E7C3D"/>
    <w:rsid w:val="002F00E9"/>
    <w:rsid w:val="002F0793"/>
    <w:rsid w:val="002F0A91"/>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7B6"/>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152"/>
    <w:rsid w:val="003D5B19"/>
    <w:rsid w:val="003E1A81"/>
    <w:rsid w:val="003E481D"/>
    <w:rsid w:val="003E50FB"/>
    <w:rsid w:val="003E5D86"/>
    <w:rsid w:val="003E7B09"/>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65E"/>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707E2"/>
    <w:rsid w:val="00473321"/>
    <w:rsid w:val="004779E6"/>
    <w:rsid w:val="00481DA7"/>
    <w:rsid w:val="00482B81"/>
    <w:rsid w:val="00485A3C"/>
    <w:rsid w:val="00486A39"/>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1350"/>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0817"/>
    <w:rsid w:val="005A2EB9"/>
    <w:rsid w:val="005A4258"/>
    <w:rsid w:val="005A462A"/>
    <w:rsid w:val="005A46D8"/>
    <w:rsid w:val="005A5942"/>
    <w:rsid w:val="005B4836"/>
    <w:rsid w:val="005B48B8"/>
    <w:rsid w:val="005B6513"/>
    <w:rsid w:val="005C06B9"/>
    <w:rsid w:val="005C14D6"/>
    <w:rsid w:val="005C397B"/>
    <w:rsid w:val="005C59A1"/>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385F"/>
    <w:rsid w:val="00615626"/>
    <w:rsid w:val="006163FC"/>
    <w:rsid w:val="006218CE"/>
    <w:rsid w:val="006237CF"/>
    <w:rsid w:val="00623CD3"/>
    <w:rsid w:val="0062531B"/>
    <w:rsid w:val="00625CDD"/>
    <w:rsid w:val="00625FFE"/>
    <w:rsid w:val="0062723E"/>
    <w:rsid w:val="00632F55"/>
    <w:rsid w:val="0063329E"/>
    <w:rsid w:val="00633470"/>
    <w:rsid w:val="0063502C"/>
    <w:rsid w:val="00636701"/>
    <w:rsid w:val="006372F2"/>
    <w:rsid w:val="006378EC"/>
    <w:rsid w:val="00640963"/>
    <w:rsid w:val="00640A34"/>
    <w:rsid w:val="00642001"/>
    <w:rsid w:val="0064414A"/>
    <w:rsid w:val="00644B66"/>
    <w:rsid w:val="00646A0C"/>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867C4"/>
    <w:rsid w:val="00691D3B"/>
    <w:rsid w:val="00695761"/>
    <w:rsid w:val="006A01DE"/>
    <w:rsid w:val="006A0399"/>
    <w:rsid w:val="006A10E2"/>
    <w:rsid w:val="006A3B65"/>
    <w:rsid w:val="006A3BEF"/>
    <w:rsid w:val="006A4356"/>
    <w:rsid w:val="006A7672"/>
    <w:rsid w:val="006B2280"/>
    <w:rsid w:val="006B247F"/>
    <w:rsid w:val="006B2801"/>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45"/>
    <w:rsid w:val="006F0E61"/>
    <w:rsid w:val="006F227D"/>
    <w:rsid w:val="006F3989"/>
    <w:rsid w:val="006F52B9"/>
    <w:rsid w:val="006F5D81"/>
    <w:rsid w:val="00701947"/>
    <w:rsid w:val="00704A62"/>
    <w:rsid w:val="00706729"/>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233"/>
    <w:rsid w:val="00764A3B"/>
    <w:rsid w:val="00764F76"/>
    <w:rsid w:val="007660E2"/>
    <w:rsid w:val="00767FC5"/>
    <w:rsid w:val="00771487"/>
    <w:rsid w:val="0077438E"/>
    <w:rsid w:val="00774764"/>
    <w:rsid w:val="00781264"/>
    <w:rsid w:val="00781A2D"/>
    <w:rsid w:val="00782361"/>
    <w:rsid w:val="00783F5A"/>
    <w:rsid w:val="00790044"/>
    <w:rsid w:val="00790BCB"/>
    <w:rsid w:val="00792B11"/>
    <w:rsid w:val="00793FC2"/>
    <w:rsid w:val="00796141"/>
    <w:rsid w:val="007962AA"/>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6E5"/>
    <w:rsid w:val="007F5BE2"/>
    <w:rsid w:val="008037ED"/>
    <w:rsid w:val="00805E89"/>
    <w:rsid w:val="0080672B"/>
    <w:rsid w:val="00806CD4"/>
    <w:rsid w:val="00810276"/>
    <w:rsid w:val="0081226A"/>
    <w:rsid w:val="00813635"/>
    <w:rsid w:val="00813CBB"/>
    <w:rsid w:val="00814AE6"/>
    <w:rsid w:val="00814B6E"/>
    <w:rsid w:val="00814BDF"/>
    <w:rsid w:val="00815C54"/>
    <w:rsid w:val="0081671F"/>
    <w:rsid w:val="0082096F"/>
    <w:rsid w:val="00821981"/>
    <w:rsid w:val="008242C5"/>
    <w:rsid w:val="008243A5"/>
    <w:rsid w:val="008309DD"/>
    <w:rsid w:val="008313B6"/>
    <w:rsid w:val="0083170B"/>
    <w:rsid w:val="00831A8A"/>
    <w:rsid w:val="00831CFC"/>
    <w:rsid w:val="00837E6B"/>
    <w:rsid w:val="00842AD0"/>
    <w:rsid w:val="00843C99"/>
    <w:rsid w:val="00846A86"/>
    <w:rsid w:val="00850FA6"/>
    <w:rsid w:val="00852CD8"/>
    <w:rsid w:val="00855BD2"/>
    <w:rsid w:val="00857543"/>
    <w:rsid w:val="00861254"/>
    <w:rsid w:val="00864E2E"/>
    <w:rsid w:val="00866936"/>
    <w:rsid w:val="008707FC"/>
    <w:rsid w:val="0087093B"/>
    <w:rsid w:val="00870D77"/>
    <w:rsid w:val="0087414C"/>
    <w:rsid w:val="008745A9"/>
    <w:rsid w:val="00874E69"/>
    <w:rsid w:val="00877E43"/>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D785F"/>
    <w:rsid w:val="008E0E50"/>
    <w:rsid w:val="008E78DE"/>
    <w:rsid w:val="008E7C46"/>
    <w:rsid w:val="008F1236"/>
    <w:rsid w:val="008F2186"/>
    <w:rsid w:val="008F2245"/>
    <w:rsid w:val="008F2296"/>
    <w:rsid w:val="008F229C"/>
    <w:rsid w:val="008F2744"/>
    <w:rsid w:val="008F2CB3"/>
    <w:rsid w:val="008F3FBE"/>
    <w:rsid w:val="008F4278"/>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2882"/>
    <w:rsid w:val="00926688"/>
    <w:rsid w:val="00927DC4"/>
    <w:rsid w:val="009321F6"/>
    <w:rsid w:val="00933786"/>
    <w:rsid w:val="009345DB"/>
    <w:rsid w:val="00934F3C"/>
    <w:rsid w:val="00936056"/>
    <w:rsid w:val="0093655D"/>
    <w:rsid w:val="00940583"/>
    <w:rsid w:val="009423D1"/>
    <w:rsid w:val="00947B0B"/>
    <w:rsid w:val="009506E6"/>
    <w:rsid w:val="0095348A"/>
    <w:rsid w:val="0095533B"/>
    <w:rsid w:val="00963487"/>
    <w:rsid w:val="009650EA"/>
    <w:rsid w:val="00965267"/>
    <w:rsid w:val="00966B5E"/>
    <w:rsid w:val="009674D8"/>
    <w:rsid w:val="00967E23"/>
    <w:rsid w:val="00972A58"/>
    <w:rsid w:val="0097441B"/>
    <w:rsid w:val="00974885"/>
    <w:rsid w:val="00974D5E"/>
    <w:rsid w:val="00977518"/>
    <w:rsid w:val="00977685"/>
    <w:rsid w:val="00977A7F"/>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2BF4"/>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A4F6F"/>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54F4"/>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2663"/>
    <w:rsid w:val="00B630AF"/>
    <w:rsid w:val="00B63835"/>
    <w:rsid w:val="00B65A46"/>
    <w:rsid w:val="00B709AA"/>
    <w:rsid w:val="00B729BC"/>
    <w:rsid w:val="00B76405"/>
    <w:rsid w:val="00B77089"/>
    <w:rsid w:val="00B818B0"/>
    <w:rsid w:val="00B83C7E"/>
    <w:rsid w:val="00B84184"/>
    <w:rsid w:val="00B843B2"/>
    <w:rsid w:val="00B8589B"/>
    <w:rsid w:val="00B867A7"/>
    <w:rsid w:val="00B92F62"/>
    <w:rsid w:val="00B937D3"/>
    <w:rsid w:val="00B93E28"/>
    <w:rsid w:val="00B974FE"/>
    <w:rsid w:val="00B978EF"/>
    <w:rsid w:val="00BA1C0E"/>
    <w:rsid w:val="00BA24AC"/>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0663"/>
    <w:rsid w:val="00BD12BA"/>
    <w:rsid w:val="00BD3B51"/>
    <w:rsid w:val="00BD670F"/>
    <w:rsid w:val="00BD7EF0"/>
    <w:rsid w:val="00BE0B73"/>
    <w:rsid w:val="00BE5D1C"/>
    <w:rsid w:val="00BE6D02"/>
    <w:rsid w:val="00BE74D7"/>
    <w:rsid w:val="00BF11B8"/>
    <w:rsid w:val="00BF250A"/>
    <w:rsid w:val="00BF414B"/>
    <w:rsid w:val="00BF4811"/>
    <w:rsid w:val="00BF4EDA"/>
    <w:rsid w:val="00BF5215"/>
    <w:rsid w:val="00BF5E7F"/>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92A"/>
    <w:rsid w:val="00C35BDA"/>
    <w:rsid w:val="00C41293"/>
    <w:rsid w:val="00C53C8A"/>
    <w:rsid w:val="00C54202"/>
    <w:rsid w:val="00C63509"/>
    <w:rsid w:val="00C654D2"/>
    <w:rsid w:val="00C704D6"/>
    <w:rsid w:val="00C71738"/>
    <w:rsid w:val="00C7193B"/>
    <w:rsid w:val="00C72261"/>
    <w:rsid w:val="00C725B8"/>
    <w:rsid w:val="00C73174"/>
    <w:rsid w:val="00C738F4"/>
    <w:rsid w:val="00C73ECC"/>
    <w:rsid w:val="00C75D77"/>
    <w:rsid w:val="00C77B09"/>
    <w:rsid w:val="00C77E21"/>
    <w:rsid w:val="00C8231C"/>
    <w:rsid w:val="00C82BF6"/>
    <w:rsid w:val="00C8450E"/>
    <w:rsid w:val="00C847BE"/>
    <w:rsid w:val="00C85766"/>
    <w:rsid w:val="00C9035E"/>
    <w:rsid w:val="00C93139"/>
    <w:rsid w:val="00C93BEB"/>
    <w:rsid w:val="00C94B7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2EA2"/>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3ADA"/>
    <w:rsid w:val="00D02602"/>
    <w:rsid w:val="00D04B56"/>
    <w:rsid w:val="00D0543A"/>
    <w:rsid w:val="00D10C7A"/>
    <w:rsid w:val="00D113F1"/>
    <w:rsid w:val="00D12BCD"/>
    <w:rsid w:val="00D15810"/>
    <w:rsid w:val="00D15A9C"/>
    <w:rsid w:val="00D22C14"/>
    <w:rsid w:val="00D22E86"/>
    <w:rsid w:val="00D23635"/>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662A"/>
    <w:rsid w:val="00D80996"/>
    <w:rsid w:val="00D80EB9"/>
    <w:rsid w:val="00D83D1B"/>
    <w:rsid w:val="00D84193"/>
    <w:rsid w:val="00D91458"/>
    <w:rsid w:val="00D919CB"/>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19B1"/>
    <w:rsid w:val="00E0343D"/>
    <w:rsid w:val="00E04E8B"/>
    <w:rsid w:val="00E0692A"/>
    <w:rsid w:val="00E06BD6"/>
    <w:rsid w:val="00E12452"/>
    <w:rsid w:val="00E1372E"/>
    <w:rsid w:val="00E13E4B"/>
    <w:rsid w:val="00E140F5"/>
    <w:rsid w:val="00E1420E"/>
    <w:rsid w:val="00E14523"/>
    <w:rsid w:val="00E14F0E"/>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38EB"/>
    <w:rsid w:val="00E472DE"/>
    <w:rsid w:val="00E51776"/>
    <w:rsid w:val="00E52068"/>
    <w:rsid w:val="00E53600"/>
    <w:rsid w:val="00E5392F"/>
    <w:rsid w:val="00E54817"/>
    <w:rsid w:val="00E55D23"/>
    <w:rsid w:val="00E55E28"/>
    <w:rsid w:val="00E6020F"/>
    <w:rsid w:val="00E61137"/>
    <w:rsid w:val="00E620EE"/>
    <w:rsid w:val="00E628FF"/>
    <w:rsid w:val="00E62C1B"/>
    <w:rsid w:val="00E6536C"/>
    <w:rsid w:val="00E65C32"/>
    <w:rsid w:val="00E66BE0"/>
    <w:rsid w:val="00E677AB"/>
    <w:rsid w:val="00E70871"/>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2BFC"/>
    <w:rsid w:val="00ED4019"/>
    <w:rsid w:val="00ED454E"/>
    <w:rsid w:val="00ED4ABD"/>
    <w:rsid w:val="00ED6973"/>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58FF"/>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76A7"/>
    <w:rsid w:val="00FC1B14"/>
    <w:rsid w:val="00FC20D4"/>
    <w:rsid w:val="00FC4C4A"/>
    <w:rsid w:val="00FD1FD2"/>
    <w:rsid w:val="00FD233B"/>
    <w:rsid w:val="00FD2AF0"/>
    <w:rsid w:val="00FD3644"/>
    <w:rsid w:val="00FD3EEC"/>
    <w:rsid w:val="00FD4ADD"/>
    <w:rsid w:val="00FD6C35"/>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2822</Words>
  <Characters>16652</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19436</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24</cp:revision>
  <cp:lastPrinted>2018-02-12T13:04:00Z</cp:lastPrinted>
  <dcterms:created xsi:type="dcterms:W3CDTF">2021-09-21T09:13:00Z</dcterms:created>
  <dcterms:modified xsi:type="dcterms:W3CDTF">2021-10-26T12:00:00Z</dcterms:modified>
</cp:coreProperties>
</file>