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Default="006F6D6C" w:rsidP="00F2738E">
      <w:pPr>
        <w:pStyle w:val="Zhlav"/>
        <w:rPr>
          <w:i/>
        </w:rPr>
      </w:pPr>
    </w:p>
    <w:p w14:paraId="789CCF3F" w14:textId="77777777" w:rsidR="00C62197" w:rsidRPr="00DF3D0B" w:rsidRDefault="00C62197" w:rsidP="00F2738E">
      <w:pPr>
        <w:pStyle w:val="Zhlav"/>
        <w:rPr>
          <w:i/>
        </w:rPr>
      </w:pPr>
    </w:p>
    <w:p w14:paraId="58FDFB85" w14:textId="2759DD4F" w:rsidR="00CD76DB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4F16C1F8" w14:textId="2CE27A5C" w:rsidR="00BA0B75" w:rsidRPr="00BA0B75" w:rsidRDefault="004D0EED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="Courier New"/>
          <w:b/>
          <w:bCs/>
          <w:sz w:val="26"/>
          <w:szCs w:val="26"/>
        </w:rPr>
        <w:t>JAK 24 - Vybavení pro AV záznamy</w:t>
      </w:r>
    </w:p>
    <w:p w14:paraId="2B13A6B6" w14:textId="375F56FE" w:rsidR="00CD76DB" w:rsidRDefault="00CD76DB" w:rsidP="00A12845">
      <w:pPr>
        <w:tabs>
          <w:tab w:val="center" w:pos="4536"/>
          <w:tab w:val="right" w:pos="9072"/>
        </w:tabs>
        <w:spacing w:after="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26CBB4D7" w14:textId="77777777" w:rsidR="00A12845" w:rsidRDefault="00A1284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2CFADA0B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3BD402B9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7A4305E7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3D5915AB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1560DAD7" w:rsidR="158C6BD3" w:rsidRDefault="00CD76DB" w:rsidP="00C62197">
      <w:pPr>
        <w:spacing w:before="120" w:after="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7E055E42" w14:textId="77777777" w:rsidR="00FF2F5F" w:rsidRDefault="00FF2F5F" w:rsidP="00C62197">
      <w:pPr>
        <w:spacing w:after="0" w:line="240" w:lineRule="auto"/>
        <w:jc w:val="both"/>
        <w:rPr>
          <w:rFonts w:cstheme="minorHAnsi"/>
        </w:rPr>
      </w:pPr>
    </w:p>
    <w:p w14:paraId="48C9DE25" w14:textId="7D30DB22" w:rsidR="001C0CC4" w:rsidRDefault="00830F5D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Nabídková cena</w:t>
      </w:r>
      <w:r w:rsidR="00BE3E12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p w14:paraId="25FC8BF0" w14:textId="77777777" w:rsidR="00FF2F5F" w:rsidRDefault="00FF2F5F" w:rsidP="00FF2F5F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0977684">
        <w:trPr>
          <w:trHeight w:val="454"/>
        </w:trPr>
        <w:tc>
          <w:tcPr>
            <w:tcW w:w="3603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003314F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</w:p>
        </w:tc>
      </w:tr>
      <w:tr w:rsidR="005B2339" w:rsidRPr="00E673F0" w14:paraId="01428CEE" w14:textId="77777777" w:rsidTr="00977684">
        <w:trPr>
          <w:trHeight w:val="711"/>
        </w:trPr>
        <w:tc>
          <w:tcPr>
            <w:tcW w:w="3603" w:type="dxa"/>
            <w:shd w:val="clear" w:color="auto" w:fill="auto"/>
            <w:vAlign w:val="center"/>
          </w:tcPr>
          <w:p w14:paraId="0B78E862" w14:textId="73142AB0" w:rsidR="005B2339" w:rsidRPr="0004145E" w:rsidRDefault="004D0EED" w:rsidP="005B7FB0">
            <w:pPr>
              <w:spacing w:after="0" w:line="240" w:lineRule="auto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</w:rPr>
              <w:t>JAK 24 - Vybavení pro AV záznamy</w:t>
            </w:r>
            <w:r w:rsidR="00AF112F" w:rsidRPr="00511577">
              <w:rPr>
                <w:rFonts w:cs="Courier New"/>
              </w:rPr>
              <w:t xml:space="preserve"> – </w:t>
            </w:r>
            <w:r w:rsidR="00545B28">
              <w:rPr>
                <w:rFonts w:cs="Courier New"/>
              </w:rPr>
              <w:t>financováno z OP JAK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877AEC0" w14:textId="77777777" w:rsidR="005B2339" w:rsidRPr="000831F2" w:rsidRDefault="005B2339" w:rsidP="005B7FB0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277C999" w14:textId="77777777" w:rsidR="005B2339" w:rsidRPr="000831F2" w:rsidRDefault="005B2339" w:rsidP="005B7FB0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87DE839" w14:textId="77777777" w:rsidR="005B2339" w:rsidRPr="000831F2" w:rsidRDefault="005B2339" w:rsidP="005B7FB0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3C5214" w:rsidRPr="00E673F0" w14:paraId="0107FD4C" w14:textId="77777777" w:rsidTr="00977684">
        <w:trPr>
          <w:trHeight w:val="711"/>
        </w:trPr>
        <w:tc>
          <w:tcPr>
            <w:tcW w:w="3603" w:type="dxa"/>
            <w:shd w:val="clear" w:color="auto" w:fill="auto"/>
            <w:vAlign w:val="center"/>
          </w:tcPr>
          <w:p w14:paraId="708C8AF1" w14:textId="70E60AD0" w:rsidR="003C5214" w:rsidRDefault="004D0EED" w:rsidP="005B7FB0">
            <w:pPr>
              <w:spacing w:after="0" w:line="240" w:lineRule="auto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</w:rPr>
              <w:t>JAK 24 - Vybavení pro AV záznamy</w:t>
            </w:r>
            <w:r w:rsidR="003C5214" w:rsidRPr="00511577">
              <w:rPr>
                <w:rFonts w:cs="Courier New"/>
              </w:rPr>
              <w:t xml:space="preserve"> – Jiný zdroj financování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ABB460C" w14:textId="018F02E1" w:rsidR="003C5214" w:rsidRPr="000831F2" w:rsidRDefault="003C5214" w:rsidP="005B7FB0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D7B15FF" w14:textId="666E32C6" w:rsidR="003C5214" w:rsidRPr="000831F2" w:rsidRDefault="003C5214" w:rsidP="005B7FB0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607B718" w14:textId="2C9EC93F" w:rsidR="003C5214" w:rsidRPr="000831F2" w:rsidRDefault="003C5214" w:rsidP="005B7FB0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3C5214" w:rsidRPr="00E673F0" w14:paraId="652A9A42" w14:textId="77777777" w:rsidTr="00977684">
        <w:trPr>
          <w:trHeight w:val="711"/>
        </w:trPr>
        <w:tc>
          <w:tcPr>
            <w:tcW w:w="3603" w:type="dxa"/>
            <w:shd w:val="clear" w:color="auto" w:fill="auto"/>
            <w:vAlign w:val="center"/>
          </w:tcPr>
          <w:p w14:paraId="6D76B6E5" w14:textId="4CEC1B2A" w:rsidR="003C5214" w:rsidRDefault="003C5214" w:rsidP="005B7FB0">
            <w:pPr>
              <w:spacing w:after="0" w:line="240" w:lineRule="auto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</w:rPr>
              <w:t>Cena celkem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E5357B7" w14:textId="5220ECEC" w:rsidR="003C5214" w:rsidRPr="000831F2" w:rsidRDefault="003C5214" w:rsidP="005B7FB0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E58F04E" w14:textId="542E0A0D" w:rsidR="003C5214" w:rsidRPr="000831F2" w:rsidRDefault="003C5214" w:rsidP="005B7FB0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507BEAC" w14:textId="05447948" w:rsidR="003C5214" w:rsidRPr="000831F2" w:rsidRDefault="003C5214" w:rsidP="005B7FB0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7A36F2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4ADF1D5D" w14:textId="77777777" w:rsidR="00D7688C" w:rsidRPr="00967F03" w:rsidRDefault="00D7688C" w:rsidP="00D7688C">
      <w:pPr>
        <w:spacing w:after="0" w:line="240" w:lineRule="auto"/>
        <w:ind w:left="720"/>
        <w:jc w:val="both"/>
        <w:rPr>
          <w:rFonts w:ascii="Calibri" w:hAnsi="Calibri"/>
          <w:bCs/>
        </w:rPr>
      </w:pP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5281D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16382DEB" w14:textId="356B1A8D" w:rsidR="00B6577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6C20A2E7" w14:textId="77777777" w:rsidR="00721B8A" w:rsidRDefault="00721B8A" w:rsidP="00231B55">
      <w:pPr>
        <w:pStyle w:val="Nadpis3"/>
        <w:numPr>
          <w:ilvl w:val="0"/>
          <w:numId w:val="0"/>
        </w:numPr>
        <w:spacing w:before="0"/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77777777" w:rsidR="004805ED" w:rsidRPr="00913C9F" w:rsidRDefault="004805ED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2022/576 ze dne 8. dubna 2022, kterým se mění nařízení (EU) č. 833/2014 o omezujících opatřeních vzhledem k činnostem Ruska destabilizujícím situaci na Ukrajině</w:t>
      </w:r>
    </w:p>
    <w:p w14:paraId="0F9CF296" w14:textId="5EFD2385" w:rsidR="0058382A" w:rsidRPr="00113F55" w:rsidRDefault="0058382A" w:rsidP="001C0E7D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 xml:space="preserve">Účastník tímto v návaznosti na Nařízení Rady (EU) č. 833/2014 o omezujících opatřeních vzhledem k činnostem Ruska destabilizujícím situaci na Ukrajině, </w:t>
      </w:r>
      <w:r w:rsidR="003A517F"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9F72AE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není fyzickou nebo právnickou osobou, subjektem nebo orgánem, který jedná jménem nebo na pokyn některého ze subjektů uvedených v písmeni a) nebo b).</w:t>
      </w:r>
    </w:p>
    <w:p w14:paraId="62A3E1EA" w14:textId="77777777" w:rsidR="009F72AE" w:rsidRPr="00113F55" w:rsidRDefault="009F72AE" w:rsidP="009F72AE">
      <w:pPr>
        <w:pStyle w:val="Odstavecseseznamem"/>
        <w:widowControl w:val="0"/>
        <w:ind w:left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7EF1E5" w14:textId="6BACCBE3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r w:rsidR="00091996">
        <w:rPr>
          <w:rFonts w:cstheme="minorHAnsi"/>
          <w:bCs/>
          <w:color w:val="000000"/>
        </w:rPr>
        <w:t>.</w:t>
      </w:r>
      <w:r w:rsidR="00091996" w:rsidRPr="00113F55">
        <w:rPr>
          <w:rFonts w:cstheme="minorHAnsi"/>
          <w:bCs/>
          <w:color w:val="000000"/>
        </w:rPr>
        <w:t xml:space="preserve"> 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A08B" w14:textId="77777777" w:rsidR="000E6AFD" w:rsidRDefault="000E6AFD" w:rsidP="00C114D4">
      <w:pPr>
        <w:spacing w:after="0" w:line="240" w:lineRule="auto"/>
      </w:pPr>
      <w:r>
        <w:separator/>
      </w:r>
    </w:p>
  </w:endnote>
  <w:endnote w:type="continuationSeparator" w:id="0">
    <w:p w14:paraId="75A112AE" w14:textId="77777777" w:rsidR="000E6AFD" w:rsidRDefault="000E6AFD" w:rsidP="00C114D4">
      <w:pPr>
        <w:spacing w:after="0" w:line="240" w:lineRule="auto"/>
      </w:pPr>
      <w:r>
        <w:continuationSeparator/>
      </w:r>
    </w:p>
  </w:endnote>
  <w:endnote w:type="continuationNotice" w:id="1">
    <w:p w14:paraId="759A6304" w14:textId="77777777" w:rsidR="000E6AFD" w:rsidRDefault="000E6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E20A" w14:textId="77777777" w:rsidR="000E6AFD" w:rsidRDefault="000E6AFD" w:rsidP="00C114D4">
      <w:pPr>
        <w:spacing w:after="0" w:line="240" w:lineRule="auto"/>
      </w:pPr>
      <w:r>
        <w:separator/>
      </w:r>
    </w:p>
  </w:footnote>
  <w:footnote w:type="continuationSeparator" w:id="0">
    <w:p w14:paraId="67B7B048" w14:textId="77777777" w:rsidR="000E6AFD" w:rsidRDefault="000E6AFD" w:rsidP="00C114D4">
      <w:pPr>
        <w:spacing w:after="0" w:line="240" w:lineRule="auto"/>
      </w:pPr>
      <w:r>
        <w:continuationSeparator/>
      </w:r>
    </w:p>
  </w:footnote>
  <w:footnote w:type="continuationNotice" w:id="1">
    <w:p w14:paraId="5369152F" w14:textId="77777777" w:rsidR="000E6AFD" w:rsidRDefault="000E6AFD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5653A2E8" w14:textId="2A79707D" w:rsidR="00BE3E12" w:rsidRDefault="00BE3E12">
      <w:pPr>
        <w:pStyle w:val="Textpoznpodarou"/>
      </w:pPr>
      <w:r>
        <w:rPr>
          <w:rStyle w:val="Znakapoznpodarou"/>
        </w:rPr>
        <w:footnoteRef/>
      </w:r>
      <w:r>
        <w:t xml:space="preserve"> Cena se uvádí </w:t>
      </w:r>
      <w:r w:rsidR="00546774">
        <w:t>v KČ</w:t>
      </w:r>
      <w:r>
        <w:t xml:space="preserve"> zaokrouhleno na dvě desetinná místa</w:t>
      </w:r>
      <w:r w:rsidR="0052462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  <w:p w14:paraId="1248BAA4" w14:textId="77777777" w:rsidR="004D0EED" w:rsidRDefault="004D0EED" w:rsidP="004D0EED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530E3A11" wp14:editId="63D6820E">
          <wp:extent cx="5753100" cy="819150"/>
          <wp:effectExtent l="0" t="0" r="0" b="0"/>
          <wp:docPr id="1894557226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CDC5B" w14:textId="77777777" w:rsidR="004D0EED" w:rsidRDefault="004D0EED" w:rsidP="004D0EED">
    <w:pPr>
      <w:pStyle w:val="Zhlav"/>
      <w:spacing w:before="120"/>
      <w:rPr>
        <w:rFonts w:ascii="Arial" w:hAnsi="Arial" w:cs="Arial"/>
        <w:spacing w:val="-4"/>
        <w:sz w:val="20"/>
      </w:rPr>
    </w:pPr>
    <w:r w:rsidRPr="00375901">
      <w:rPr>
        <w:rFonts w:ascii="Arial" w:hAnsi="Arial" w:cs="Arial"/>
        <w:spacing w:val="-4"/>
        <w:sz w:val="20"/>
      </w:rPr>
      <w:t>„Rozvoj infrastrukturního zázemí doktorských studijních programů na JAMU", registrační číslo projektu: CZ.02.01.01/00/22_012/0007661, který je spolufinancován z Operačního programu Jan Amos Komenský</w:t>
    </w:r>
  </w:p>
  <w:p w14:paraId="16C5A52E" w14:textId="313B8A3A" w:rsidR="004D0EED" w:rsidRPr="004D0EED" w:rsidRDefault="004D0EED" w:rsidP="004D0EED">
    <w:pPr>
      <w:pStyle w:val="Zhlav"/>
      <w:spacing w:before="120"/>
      <w:jc w:val="right"/>
      <w:rPr>
        <w:rFonts w:ascii="Arial" w:hAnsi="Arial" w:cs="Arial"/>
        <w:i/>
        <w:iCs/>
        <w:sz w:val="16"/>
        <w:szCs w:val="16"/>
      </w:rPr>
    </w:pPr>
    <w:r w:rsidRPr="004D0EED">
      <w:rPr>
        <w:rFonts w:ascii="Arial" w:hAnsi="Arial" w:cs="Arial"/>
        <w:i/>
        <w:iCs/>
        <w:spacing w:val="-4"/>
        <w:sz w:val="16"/>
        <w:szCs w:val="16"/>
      </w:rPr>
      <w:t>Formulář nabídky k zakázce JAK 24 – Vybavení pro AV záznamy</w:t>
    </w:r>
  </w:p>
  <w:p w14:paraId="6FEE1EFA" w14:textId="539A7CD3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BDEA6EAA"/>
    <w:lvl w:ilvl="0" w:tplc="FFFFFFFF">
      <w:start w:val="1"/>
      <w:numFmt w:val="decimal"/>
      <w:pStyle w:val="Textslodst"/>
      <w:lvlText w:val="(%1) 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1"/>
  </w:num>
  <w:num w:numId="2" w16cid:durableId="140777420">
    <w:abstractNumId w:val="11"/>
  </w:num>
  <w:num w:numId="3" w16cid:durableId="841890694">
    <w:abstractNumId w:val="2"/>
  </w:num>
  <w:num w:numId="4" w16cid:durableId="318462558">
    <w:abstractNumId w:val="3"/>
  </w:num>
  <w:num w:numId="5" w16cid:durableId="136722868">
    <w:abstractNumId w:val="8"/>
  </w:num>
  <w:num w:numId="6" w16cid:durableId="383988035">
    <w:abstractNumId w:val="11"/>
  </w:num>
  <w:num w:numId="7" w16cid:durableId="437141458">
    <w:abstractNumId w:val="9"/>
  </w:num>
  <w:num w:numId="8" w16cid:durableId="498355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11"/>
  </w:num>
  <w:num w:numId="10" w16cid:durableId="445272301">
    <w:abstractNumId w:val="11"/>
  </w:num>
  <w:num w:numId="11" w16cid:durableId="1690525607">
    <w:abstractNumId w:val="11"/>
  </w:num>
  <w:num w:numId="12" w16cid:durableId="633683175">
    <w:abstractNumId w:val="4"/>
  </w:num>
  <w:num w:numId="13" w16cid:durableId="1802378004">
    <w:abstractNumId w:val="10"/>
  </w:num>
  <w:num w:numId="14" w16cid:durableId="1326937718">
    <w:abstractNumId w:val="6"/>
  </w:num>
  <w:num w:numId="15" w16cid:durableId="826628221">
    <w:abstractNumId w:val="11"/>
  </w:num>
  <w:num w:numId="16" w16cid:durableId="664749957">
    <w:abstractNumId w:val="0"/>
  </w:num>
  <w:num w:numId="17" w16cid:durableId="1069306052">
    <w:abstractNumId w:val="5"/>
  </w:num>
  <w:num w:numId="18" w16cid:durableId="83649987">
    <w:abstractNumId w:val="11"/>
  </w:num>
  <w:num w:numId="19" w16cid:durableId="771364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4145E"/>
    <w:rsid w:val="00053BCB"/>
    <w:rsid w:val="00055EC1"/>
    <w:rsid w:val="00056639"/>
    <w:rsid w:val="000658B3"/>
    <w:rsid w:val="00071381"/>
    <w:rsid w:val="00080251"/>
    <w:rsid w:val="00081950"/>
    <w:rsid w:val="00091996"/>
    <w:rsid w:val="00093A69"/>
    <w:rsid w:val="0009571E"/>
    <w:rsid w:val="000A0DAC"/>
    <w:rsid w:val="000A26B9"/>
    <w:rsid w:val="000C030D"/>
    <w:rsid w:val="000E22D5"/>
    <w:rsid w:val="000E501F"/>
    <w:rsid w:val="000E6AFD"/>
    <w:rsid w:val="000F769A"/>
    <w:rsid w:val="0010456C"/>
    <w:rsid w:val="00127C46"/>
    <w:rsid w:val="001C0CC4"/>
    <w:rsid w:val="001C0E7D"/>
    <w:rsid w:val="001E1B0D"/>
    <w:rsid w:val="001F66C5"/>
    <w:rsid w:val="00212294"/>
    <w:rsid w:val="00214EB8"/>
    <w:rsid w:val="00222507"/>
    <w:rsid w:val="00230A43"/>
    <w:rsid w:val="00231B55"/>
    <w:rsid w:val="00247643"/>
    <w:rsid w:val="00275434"/>
    <w:rsid w:val="00275778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314F3"/>
    <w:rsid w:val="00340B36"/>
    <w:rsid w:val="00353CDF"/>
    <w:rsid w:val="0036657C"/>
    <w:rsid w:val="003A4766"/>
    <w:rsid w:val="003A517F"/>
    <w:rsid w:val="003C5214"/>
    <w:rsid w:val="003E1465"/>
    <w:rsid w:val="003F7969"/>
    <w:rsid w:val="00415210"/>
    <w:rsid w:val="004156D6"/>
    <w:rsid w:val="00426593"/>
    <w:rsid w:val="00437BDB"/>
    <w:rsid w:val="00470D23"/>
    <w:rsid w:val="004805ED"/>
    <w:rsid w:val="00481ACA"/>
    <w:rsid w:val="00486D09"/>
    <w:rsid w:val="004932AB"/>
    <w:rsid w:val="00493349"/>
    <w:rsid w:val="004945C1"/>
    <w:rsid w:val="004B1BE2"/>
    <w:rsid w:val="004C2DDB"/>
    <w:rsid w:val="004D0EED"/>
    <w:rsid w:val="004E147F"/>
    <w:rsid w:val="004E6E27"/>
    <w:rsid w:val="00500437"/>
    <w:rsid w:val="00501D38"/>
    <w:rsid w:val="00502336"/>
    <w:rsid w:val="00511577"/>
    <w:rsid w:val="005115E5"/>
    <w:rsid w:val="0052462B"/>
    <w:rsid w:val="00525823"/>
    <w:rsid w:val="005274C7"/>
    <w:rsid w:val="005276ED"/>
    <w:rsid w:val="005377E5"/>
    <w:rsid w:val="00540513"/>
    <w:rsid w:val="00545B28"/>
    <w:rsid w:val="00546774"/>
    <w:rsid w:val="0055281D"/>
    <w:rsid w:val="005734EA"/>
    <w:rsid w:val="00582F21"/>
    <w:rsid w:val="0058382A"/>
    <w:rsid w:val="00584D4C"/>
    <w:rsid w:val="00587E9F"/>
    <w:rsid w:val="00590FDE"/>
    <w:rsid w:val="00591BD4"/>
    <w:rsid w:val="00593852"/>
    <w:rsid w:val="005968C9"/>
    <w:rsid w:val="005B2339"/>
    <w:rsid w:val="005B574A"/>
    <w:rsid w:val="005B7FB0"/>
    <w:rsid w:val="005C3A4B"/>
    <w:rsid w:val="005C7CD4"/>
    <w:rsid w:val="005D10F9"/>
    <w:rsid w:val="005E0BB5"/>
    <w:rsid w:val="005E41FC"/>
    <w:rsid w:val="005F44EE"/>
    <w:rsid w:val="00611E9D"/>
    <w:rsid w:val="00673B93"/>
    <w:rsid w:val="00680263"/>
    <w:rsid w:val="00683581"/>
    <w:rsid w:val="006B6C02"/>
    <w:rsid w:val="006E0F65"/>
    <w:rsid w:val="006F3104"/>
    <w:rsid w:val="006F6D6C"/>
    <w:rsid w:val="00717FC7"/>
    <w:rsid w:val="00721B8A"/>
    <w:rsid w:val="007479E7"/>
    <w:rsid w:val="00752774"/>
    <w:rsid w:val="00773456"/>
    <w:rsid w:val="00795E6B"/>
    <w:rsid w:val="007A36F2"/>
    <w:rsid w:val="007A3B7B"/>
    <w:rsid w:val="007B30E9"/>
    <w:rsid w:val="007C2674"/>
    <w:rsid w:val="007C272D"/>
    <w:rsid w:val="007D0BBA"/>
    <w:rsid w:val="007D3B2A"/>
    <w:rsid w:val="00821596"/>
    <w:rsid w:val="00821986"/>
    <w:rsid w:val="00830F5D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B5C"/>
    <w:rsid w:val="008F32C5"/>
    <w:rsid w:val="008F6A30"/>
    <w:rsid w:val="0091338D"/>
    <w:rsid w:val="00917F25"/>
    <w:rsid w:val="00932310"/>
    <w:rsid w:val="00963993"/>
    <w:rsid w:val="00972B3B"/>
    <w:rsid w:val="00977684"/>
    <w:rsid w:val="009A6767"/>
    <w:rsid w:val="009B750B"/>
    <w:rsid w:val="009D06A5"/>
    <w:rsid w:val="009D32D3"/>
    <w:rsid w:val="009F6BE4"/>
    <w:rsid w:val="009F72AE"/>
    <w:rsid w:val="00A03054"/>
    <w:rsid w:val="00A12845"/>
    <w:rsid w:val="00A2008C"/>
    <w:rsid w:val="00A253F4"/>
    <w:rsid w:val="00A40D29"/>
    <w:rsid w:val="00A61938"/>
    <w:rsid w:val="00A64ECE"/>
    <w:rsid w:val="00A7077F"/>
    <w:rsid w:val="00A903F3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112F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4247A"/>
    <w:rsid w:val="00B51245"/>
    <w:rsid w:val="00B52690"/>
    <w:rsid w:val="00B6577F"/>
    <w:rsid w:val="00B664D8"/>
    <w:rsid w:val="00B67282"/>
    <w:rsid w:val="00B83AD1"/>
    <w:rsid w:val="00B95ECF"/>
    <w:rsid w:val="00B96235"/>
    <w:rsid w:val="00BA0B75"/>
    <w:rsid w:val="00BB0E9C"/>
    <w:rsid w:val="00BB3FC3"/>
    <w:rsid w:val="00BB69F7"/>
    <w:rsid w:val="00BC36A7"/>
    <w:rsid w:val="00BE1B7D"/>
    <w:rsid w:val="00BE3E12"/>
    <w:rsid w:val="00BE54E9"/>
    <w:rsid w:val="00BE6D29"/>
    <w:rsid w:val="00BE7503"/>
    <w:rsid w:val="00BF27EE"/>
    <w:rsid w:val="00BF58CE"/>
    <w:rsid w:val="00C114D4"/>
    <w:rsid w:val="00C11A99"/>
    <w:rsid w:val="00C152E6"/>
    <w:rsid w:val="00C51D71"/>
    <w:rsid w:val="00C62197"/>
    <w:rsid w:val="00C95DDF"/>
    <w:rsid w:val="00CA40FA"/>
    <w:rsid w:val="00CC7BB2"/>
    <w:rsid w:val="00CD29E6"/>
    <w:rsid w:val="00CD76DB"/>
    <w:rsid w:val="00CE5AFF"/>
    <w:rsid w:val="00CE7527"/>
    <w:rsid w:val="00CF011C"/>
    <w:rsid w:val="00D23F3E"/>
    <w:rsid w:val="00D318DE"/>
    <w:rsid w:val="00D50124"/>
    <w:rsid w:val="00D510D8"/>
    <w:rsid w:val="00D64137"/>
    <w:rsid w:val="00D71F56"/>
    <w:rsid w:val="00D73061"/>
    <w:rsid w:val="00D7688C"/>
    <w:rsid w:val="00D94FC3"/>
    <w:rsid w:val="00DB1CE3"/>
    <w:rsid w:val="00DD283C"/>
    <w:rsid w:val="00DE76DB"/>
    <w:rsid w:val="00DF4605"/>
    <w:rsid w:val="00E03F60"/>
    <w:rsid w:val="00E068C9"/>
    <w:rsid w:val="00E12629"/>
    <w:rsid w:val="00E21AC3"/>
    <w:rsid w:val="00E27CD0"/>
    <w:rsid w:val="00E5418A"/>
    <w:rsid w:val="00E62E63"/>
    <w:rsid w:val="00E70765"/>
    <w:rsid w:val="00E7479D"/>
    <w:rsid w:val="00EA110C"/>
    <w:rsid w:val="00ED1A80"/>
    <w:rsid w:val="00ED6E61"/>
    <w:rsid w:val="00EF289D"/>
    <w:rsid w:val="00F07044"/>
    <w:rsid w:val="00F07DDE"/>
    <w:rsid w:val="00F16063"/>
    <w:rsid w:val="00F166AB"/>
    <w:rsid w:val="00F2738E"/>
    <w:rsid w:val="00F330B5"/>
    <w:rsid w:val="00F44F9C"/>
    <w:rsid w:val="00F53B05"/>
    <w:rsid w:val="00F62D1B"/>
    <w:rsid w:val="00F63DBC"/>
    <w:rsid w:val="00F92CE2"/>
    <w:rsid w:val="00FB219D"/>
    <w:rsid w:val="00FD049A"/>
    <w:rsid w:val="00FD41A8"/>
    <w:rsid w:val="00FE2054"/>
    <w:rsid w:val="00FE2373"/>
    <w:rsid w:val="00FF2F5F"/>
    <w:rsid w:val="15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spacing w:before="12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paragraph" w:customStyle="1" w:styleId="Textslodst">
    <w:name w:val="Text čísl. odst."/>
    <w:basedOn w:val="Normln"/>
    <w:qFormat/>
    <w:rsid w:val="00B6577F"/>
    <w:pPr>
      <w:numPr>
        <w:numId w:val="16"/>
      </w:num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12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2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2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2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2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4.xml><?xml version="1.0" encoding="utf-8"?>
<ds:datastoreItem xmlns:ds="http://schemas.openxmlformats.org/officeDocument/2006/customXml" ds:itemID="{EA07E051-5C7A-44CE-94E7-C7838C9A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Martina Svobodová</cp:lastModifiedBy>
  <cp:revision>3</cp:revision>
  <dcterms:created xsi:type="dcterms:W3CDTF">2025-06-04T07:51:00Z</dcterms:created>
  <dcterms:modified xsi:type="dcterms:W3CDTF">2025-06-04T10:52:00Z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